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probabilistic_smooth_attention_mil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smooth-attention multiple instance learning for uncertainty-aware localization in medical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Placing a Gaussian variational posterior q(u)=N(μ,S) over attention logits u and imposing an MRF precision prior that encodes local and global interactions will increase bag-level AUROC by ≥0.02 and reduce patch-level expected calibration error (ECE) relative to independent-Gaussian and deterministic softmax-attention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multiple instance learning (MIL) methods for medical images use pooled instance scores or deterministic attention to combine many image patches into a bag-level prediction. Extensions add spatial smoothing or graph priors to encourage contiguous localization, while some Bayesian attention models place simple independent distributions over attention weights to capture uncertainty. Limitations remain: deterministic attention gives no calibrated uncertainty; independent probabilistic attention ignores spatial correlations between nearby patches; expressive variational families (mixtures, flows) are rarely used at WSI scale because of compute and memory limits; and scalable, stable computations of KL and log-determinants for correlated posteriors are not standard. In short, prior work either lacks uncertainty calibration, neglects spatial structure, or is not computationally feasible for whole-slide or large CT-bag problems.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uncertainty-aware instance localization in medical-image multiple instance learning by modeling attention probabilistically and enforcing spatially structured priors. Our approach places a Gaussian variational posterior over attention logits and uses a Markov random field (MRF) precision matrix to encode local adjacency and long-range dependencies between patches. This yields attention distributions (not single scores), enabling calibrated uncertainty maps and explicit ELBO-based training (ELBO = expected bag log-likelihood − KL). We provide scalable numerical strategies: low-rank plus diagonal posterior parameterizations, analytic KL/log-determinant algebra via Woodbury and matrix-determinant identities, sparse Cholesky for well-conditioned graphs, and stochastic Lanczos quadrature (SLQ) fallback when factorization is infeasible. Expected outcomes are improved bag discrimination, better-calibrated patch-level uncertainties, and more reproducible attention localization compared with independent-Gaussian and deterministic-attention baselines. The main contributions are (1) a probabilistic smooth-attention MIL formulation that captures uncertainty and spatial structure, and (2) a practical, scalable numerical recipe for training and evaluation on whole-slide and CT-scale bags.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Histopathology whole-slide image (WSI) bags: target 500–1000 bags for pre-registered comparison, working per-bag N ≈ 1k–3k patches after deterministic subsampling; (2) Thoracic CT patch bags: 300–800 bags, N ≈ 500–2k patches. Baselines: A) deterministic softmax-attention MIL, B) independent-Gaussian attention (diagonal q), C) proposed MRF+diag q, D) MRF+low-rank+diag q, E) inducing-point sparse-GP attention (M=128,256). Metrics: AUROC, AUPRC, DeLong test for paired AUROC; negative log-likelihood (NLL); expected calibration error (ECE, 15 equal-mass bins); Brier score; patch-level IoU and Dice (with expert masks subset); top-k precision and recall; predictive coverage at 80%/95%; Net Benefit / decision-curve. Setup: run on NVIDIA A100 (40GB) with deterministic seeds and flags, containerized environment; batch sizes tuned per model. Optimization: AdamW, LR warmup then cosine decay; KL annealing 0→1 over first 2000 steps; free-bits min KL per-dim = 0.1 nats; MC samples per ELBO S = 4 (increase to 8 for final evaluation). Softmax temperature τ schedule: τ_start=1.0 → τ_end=0.1 over first 50–100 epochs (exponential). Numerical knobs: low-rank r ∈ {16,32,64}; inducing M ∈ {128,256}; SLQ probes = 30, Lanczos_iters = 80 when using SLQ. Pre-registered comparisons: (i) independent-Gaussian vs MRF+diag, (ii) MRF+diag vs MRF+low-rank; target detectable delta-AUROC = 0.02, power 0.8. Ablations: variational family (diag vs low-rank vs MoG), prior strength λ ∈ {1e-4,1e-3,1e-2}, τ schedules, low-rank r, inducing M, and posterior-collapse mitigations (KL anneal lengths, free-bits values). Evaluation procedures: patient-clustered bootstrap for CIs, DeLong for AUC p-values, IWELBO (K=10) and posterior sample clustering for adequacy checks. Reproducibility: provide numeric test fixtures (small N), unit tests for analytic KL/log-det, and end-to-end run script reproducing the baseline within 4 hours on A100.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Compute and memory: whole-slide bags (N tens of thousands) can exceed available memory; sparse Cholesky may fail due to fill-in and require SLQ approximations which can be biased (SLQ = stochastic Lanczos quadrature, a randomized method to estimate log-determinant). Numerical stability: ill-conditioned S or Q can cause optimizer divergence or wrong KL values; posterior collapse (variational posterior matching prior) can reduce useful uncertainty. Data and labels: bag-level labels may be noisy or biased across centers, harming calibration and localization; expert masks for patch-level evaluation are limited in size. Statistical: site heterogeneity and correlated patches inflate variance, increasing required sample size beyond initial targets. Identifiability: softmax invariance requires mean-centering of logits per bag; omission can bias localization. Privacy: metadata (patient_hash) must be de-identified to avoid re-identification. Generalization: models tuned on one scanner or stain may not transfer to others without retraining or domain adaptation.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