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xai_mri_distal_myopathy</w:t>
      </w:r>
    </w:p>
    <w:p>
      <w:r>
        <w:t xml:space="preserve"> </w:t>
      </w:r>
    </w:p>
    <w:p>
      <w:pPr>
        <w:pStyle w:val="Heading2"/>
      </w:pPr>
      <w:r>
        <w:t>Title</w:t>
      </w:r>
    </w:p>
    <w:p>
      <w:r>
        <w:t>Ensemble explainable AI with hierarchical occlusion for MRI diagnostic support in distal myopathies</w:t>
      </w:r>
    </w:p>
    <w:p>
      <w:r>
        <w:t xml:space="preserve"> </w:t>
      </w:r>
    </w:p>
    <w:p>
      <w:pPr>
        <w:pStyle w:val="Heading2"/>
      </w:pPr>
      <w:r>
        <w:t>Short Hypothesis</w:t>
      </w:r>
    </w:p>
    <w:p>
      <w:r>
        <w:t>Applying a hierarchical occlusion technique combined with an ensemble of explainability methods to an MRI diagnostic model for distal myopathies increases attribution IoU against voxel-level ground truth by at least 0.05 and raises reader diagnostic accuracy by at least 5 percentage points versus the model without these XAI visualizations.</w:t>
      </w:r>
    </w:p>
    <w:p>
      <w:r>
        <w:t xml:space="preserve"> </w:t>
      </w:r>
    </w:p>
    <w:p>
      <w:pPr>
        <w:pStyle w:val="Heading2"/>
      </w:pPr>
      <w:r>
        <w:t>Related Work</w:t>
      </w:r>
    </w:p>
    <w:p>
      <w:r>
        <w:t>Existing approaches produce saliency or attribution maps (e.g., gradient-based methods like Grad-CAM and Integrated Gradients, perturbation/occlusion methods, concept-based methods) and have been applied to medical imaging to highlight regions important to a model's prediction. Prior occlusion methods remove pixels or patches and measure prediction change (perturbation test). Ensembles of XAI methods have been proposed to reduce individual-method instability but are typically ad hoc and not tuned for 3D MRI volumes. Counterfactual generation methods (e.g., VAEs, GANs) have been used to synthesize alternative images, but they often lack anatomy conditioning or physics constraints, producing unrealistic examples. Human evaluation studies exist but are limited in size and rarely tie quantitative fidelity metrics (IoU, deletion/insertion AUC) to clinician utility. Limitations include: many methods are developed for 2D images and do not scale to volumetric MRI; attribution maps are often unstable under small acquisition changes; there is no consensus on how to aggregate multiple explanations; counterfactuals can be anatomically implausible; and most prior work lacks rigorous reader-study evidence and regulatory/privacy framing.</w:t>
      </w:r>
    </w:p>
    <w:p>
      <w:r>
        <w:t xml:space="preserve"> </w:t>
      </w:r>
    </w:p>
    <w:p>
      <w:pPr>
        <w:pStyle w:val="Heading2"/>
      </w:pPr>
      <w:r>
        <w:t>Abstract</w:t>
      </w:r>
    </w:p>
    <w:p>
      <w:r>
        <w:t>We propose a clinically oriented explainable AI pipeline for MRI-based diagnosis of distal myopathies that combines a hierarchical occlusion technique with an ensemble of attribution and concept-explanation methods. Hierarchical occlusion removes image regions at multiple spatial scales (from coarse patches to fine voxels) to produce scale-aware perturbation signals. The ensemble framework fuses complementary explanations into refined visual and textual outputs intended for radiologists. We pair these methods with anatomically conditioned counterfactual generation constrained by simple physics-informed transforms. The main contribution is an end-to-end, reproducible evaluation linking objective XAI fidelity metrics (attribution IoU, deletion/insertion AUC, stability) to clinician utility measured in a randomized crossover reader study. Expected outcomes are demonstrable improvement in spatial explanation faithfulness and measurable increases in clinician diagnostic performance and trust, together with a pre-registered validation protocol and artifacts to support regulatory-compliant transparency.</w:t>
      </w:r>
    </w:p>
    <w:p>
      <w:r>
        <w:t xml:space="preserve"> </w:t>
      </w:r>
    </w:p>
    <w:p>
      <w:pPr>
        <w:pStyle w:val="Heading2"/>
      </w:pPr>
      <w:r>
        <w:t>Experiments</w:t>
      </w:r>
    </w:p>
    <w:p>
      <w:r>
        <w:t>Datasets: multi-site 3D MRI cohort for distal myopathies with voxel-level lesion annotations. Split by site into training (60%), validation (20%), internal test (20%), plus an external held-out site test for generalization. Target pilot sizes: 80–120 cases per task and at least n&gt;=50 per key subgroup where feasible. Baselines: (1) diagnostic model alone (no XAI visualizations), (2) model + single XAI methods: 3D Grad-CAM, 3D Integrated Gradients, voxel-wise occlusion, (3) hierarchical occlusion only, (4) ensemble of XAI methods without hierarchical occlusion. Proposed model architecture: nnU-Net style 3D segmentation/classification baseline (automated configuration); training reproducibility: fixed seed=42, containerized environment. Evaluation metrics: attribution IoU (intersection-over-union between top-k% hotspot and voxel GT; explain: IoU measures overlap between predicted important voxels and true lesion voxels), deletion/insertion AUC (explain: measure how quickly model confidence falls when important voxels are removed or rises when added), lesion-wise sensitivity and segmentation Dice, expected calibration error (ECE), explanation stability (intra-class correlation coefficient ICC and Kendall's tau under perturbations), human utility (Likert usefulness 1-5, binary use decision, Cohen's kappa). Statistical tests: pre-specified nulls for primary XAI endpoints, case-clustered bootstrap with 10,000 replicates, multiplicity control via hierarchical testing and Benjamini-Hochberg for exploratory metrics. Reader study: randomized crossover with 8–12 board-certified neuroradiologists, 80–120 cases, 4-week washout, balanced ordering; arms: reads with model predictions only vs reads with model + ensemble-hierarchical XAI; endpoints: reader diagnostic accuracy, time per case, automation-bias events, and human utility measures. Ablations: (A) remove hierarchical occlusion from ensemble, (B) replace ensemble with single best method, (C) ablate counterfactuals from UI. Additional experiments: robustness under simulated acquisition shifts (vendor, field strength, motion) and privacy pilots testing federated aggregation vs central training; power and sample-size simulations via hierarchical Monte-Carlo (cases→sites→readers) with 10k replicates and priors Dice SD=0.10–0.14, ICC ranges 0.5–0.8.</w:t>
      </w:r>
    </w:p>
    <w:p>
      <w:r>
        <w:t xml:space="preserve"> </w:t>
      </w:r>
    </w:p>
    <w:p>
      <w:pPr>
        <w:pStyle w:val="Heading2"/>
      </w:pPr>
      <w:r>
        <w:t>Risk Factors And Limitations</w:t>
      </w:r>
    </w:p>
    <w:p>
      <w:r>
        <w:t>Technical failure modes: attribution maps may remain unstable under small acquisition changes, hierarchical occlusion may be computationally expensive on 3D volumes, and ensembles can dilute sharpness of signals. Data and annotation biases: voxel-level ground truth may be imperfect or inconsistent across raters; scarce subgroup representation (age, race, scanner) limits fairness analysis. Evaluation limits: reader-study size may be underpowered for small effects; Likert and trust measures are subjective. Privacy and deployment constraints: differential privacy can degrade model fidelity (unknown Dice/AUC drop), federated learning increases communication cost and engineering complexity, and DSAs/IRB rules may restrict data pooling. Synthetic MRI risks: generated images may not match real scanner physics, causing misleading validation. Scalability: compute cost for 3D hierarchical occlusion and ensembles requires multiple A100 GPU-months; may limit large-scale replication. Generalization: methods validated on distal myopathy MRI may not transfer to other MRI tasks without retraining and revalidation. Regulatory readiness: absence of finalized DSA/technical file may delay audits and approvals.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