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telemedicine_ebm_adaptive_pricing_framework</w:t>
      </w:r>
    </w:p>
    <w:p>
      <w:r>
        <w:t xml:space="preserve"> </w:t>
      </w:r>
    </w:p>
    <w:p>
      <w:pPr>
        <w:pStyle w:val="Heading2"/>
      </w:pPr>
      <w:r>
        <w:t>Title</w:t>
      </w:r>
    </w:p>
    <w:p>
      <w:r>
        <w:t>An integrated statistical–interoperability framework to evaluate and adaptively price telemedicine services under the Einheitlicher Bewertungsmaßstab (EBM)</w:t>
      </w:r>
    </w:p>
    <w:p>
      <w:r>
        <w:t xml:space="preserve"> </w:t>
      </w:r>
    </w:p>
    <w:p>
      <w:pPr>
        <w:pStyle w:val="Heading2"/>
      </w:pPr>
      <w:r>
        <w:t>Short Hypothesis</w:t>
      </w:r>
    </w:p>
    <w:p>
      <w:r>
        <w:t>Applying an adaptive pricing rule that updates GOPs based on FHIR‑measured quality indicators, cost deviations, and utilization causes telemedicine diagnostic congruence with in‑person care to be non‑inferior within −5 percentage points and keeps average per‑encounter cost deviation within ±10% of baseline.</w:t>
      </w:r>
    </w:p>
    <w:p>
      <w:r>
        <w:t xml:space="preserve"> </w:t>
      </w:r>
    </w:p>
    <w:p>
      <w:pPr>
        <w:pStyle w:val="Heading2"/>
      </w:pPr>
      <w:r>
        <w:t>Related Work</w:t>
      </w:r>
    </w:p>
    <w:p>
      <w:r>
        <w:t>Existing work tests telemedicine efficacy via equivalence/non‑inferiority trials and evaluates telemonitoring for chronic diseases (e.g. heart failure), while reimbursement research typically uses fixed fee schedules or simple pay‑for‑performance pilots. Interoperability efforts focus on FHIR adoption for data exchange but often stop at syntactic conformance without end‑to‑end conformance tests or media (audio/video) KPIs. Privacy work proposes Trusted Third Party (TTP) pseudonymization and HSM key management in isolation. AI validation studies emphasize hold‑out/external testing but rarely integrate AI performance into reimbursement or operational pilots. Limitations: (1) lack of a single reproducible pipeline that links rigorous statistical design (cluster/stepped‑wedge, interim rules) to adaptive reimbursement logic; (2) sparse machine‑readable FHIR IGs that include media and consent profiles; (3) missing privacy/TTP contracts in machine‑readable form; (4) insufficient prevalence‑aware AI safety metrics tied to payment rules; (5) weak, non‑standardized equity measurement in pilot deployments.</w:t>
      </w:r>
    </w:p>
    <w:p>
      <w:r>
        <w:t xml:space="preserve"> </w:t>
      </w:r>
    </w:p>
    <w:p>
      <w:pPr>
        <w:pStyle w:val="Heading2"/>
      </w:pPr>
      <w:r>
        <w:t>Abstract</w:t>
      </w:r>
    </w:p>
    <w:p>
      <w:r>
        <w:t>Problem: Policymakers need a reproducible way to evaluate telemedicine quality and to adapt reimbursement (GOPs) while ensuring privacy, interoperability and equity. Approach: We propose an integrated framework that (a) measures clinical quality and usage with FHIR R4 bundles and media KPIs (packet loss, latency, resolution), (b) runs cluster or stepped‑wedge non‑inferiority analyses on diagnoses congruence and 7/30‑day revisits, and (c) updates GOP prices using an adaptive formula weighted by quality, cost and utilization. The framework includes machine‑readable artifacts (R/Python notebooks, FHIR IG draft, NDJSON test bundles, DPIA/TTP key‑management schema) and Monte‑Carlo validation of pricing rules. Main contribution: A reproducible, auditable pipeline that links interoperable data collection, pre‑specified statistical inference (non‑inferiority Δ=5 pp), privacy‑preserving linkage, and adaptive pricing rules suitable for a 12–24 month pilot. Expected outcome: empirical proof whether adaptive, quality‑linked pricing maintains clinical non‑inferiority and constrains costs, while producing machine‑readable deliverables for regulators and implementers.</w:t>
      </w:r>
    </w:p>
    <w:p>
      <w:r>
        <w:t xml:space="preserve"> </w:t>
      </w:r>
    </w:p>
    <w:p>
      <w:pPr>
        <w:pStyle w:val="Heading2"/>
      </w:pPr>
      <w:r>
        <w:t>Experiments</w:t>
      </w:r>
    </w:p>
    <w:p>
      <w:r>
        <w:t>Datasets: (1) Real-world pilot: five heterogeneous regions; target per region 1,000–2,500 telemedicine encounters (total 5,000–10,000); data elements: FHIR R4 Encounter, Observation (LOINC), DocumentReference, Provenance, media KPI logs (latency, packet loss, resolution), billing GOPs, patient demographics (age, SES proxy, region). (2) External AI validation set: ≥1,000 labelled cases with same code maps. (3) Synthetic NDJSON test bundles (10 cases: video, telephone, async, telemonitoring, missing fields, edge cases). Baselines: (A) in‑person care (standard EBM GOPs), (B) telemedicine with fixed GOPs, (C) telemedicine with fixed GOPs + AI assist, (D) telemedicine with adaptive pricing (proposed). Evaluation metrics: primary: diagnoses congruence (binary match of primary ICD‑10 code within 14 days; explain ICD‑10 = international disease code) and 7‑day revisit rate; secondary: 30‑day revisit rate, average cost per encounter, utilization rate (tele vs presence), patient satisfaction (Likert mean), documentation completeness (% fields present), media KPIs (median latency ms, packet loss %), equity metrics (uptake by SES quintile). Statistical design: cluster randomized parallel or stepped‑wedge (specify per site); non‑inferiority margin Δ=−5 pp for diagnoses congruence; alpha=0.05 two‑sided, power=0.80. Sample sizes: ~800–1,000 per arm for diagnoses congruence; ~2,400 per arm for 7‑day revisit comparisons; adjust for cluster via DE=1+(m−1)×ICC (ICC range 0.01–0.05); provide R/Python scripts with fixed seeds for all calculations. Analysis: primary ITT analysis via logistic GEE (exchangeable) or mixed‑effects (cluster random intercept) adjusted for age, comorbidity index, specialty; per‑protocol as sensitivity. Interim: Lan‑DeMets spending (O’Brien‑Fleming analog) with one interim at 50% information; DMC rules and exact boundaries published in SAP. Pricing validation: Monte‑Carlo 10,000 runs of NewPrice = BasePrice × [1 + wQ×(QI/TargetQI −1) + wC×(ΔCost/CostBase) + wU×(UtilRate/UtilBase −1)] with wQ=0.6,wC=0.3,wU=0.1; input distributions: BaseCost ±20%, Substitution 10–60%, QI effect ±5%, ICC 0–0.05; outputs: price distribution, P(cap breach), sensitivity. Ablations: (i) adaptive pricing vs fixed pricing, (ii) wQ weight variation {0.4,0.6,0.8}, (iii) AI add‑on vs no AI, (iv) TTP linkage vs direct pseudonymization (measure linkage error). Reproducibility: release R/Python notebooks, Monte‑Carlo seeds, FHIR IG draft, NDJSON bundles, and Inferno CI scripts.</w:t>
      </w:r>
    </w:p>
    <w:p>
      <w:r>
        <w:t xml:space="preserve"> </w:t>
      </w:r>
    </w:p>
    <w:p>
      <w:pPr>
        <w:pStyle w:val="Heading2"/>
      </w:pPr>
      <w:r>
        <w:t>Risk Factors And Limitations</w:t>
      </w:r>
    </w:p>
    <w:p>
      <w:r>
        <w:t>Technical failures: video/audio outages or high latency causing missing media KPIs and failed encounters; FHIR conformance issues across vendors producing incomplete bundles. Data/evaluation biases: selection bias if digitally literate patients enroll more, resulting in unrepresentative samples; diagnostic coding variability causing mismeasured congruence (coding errors). Statistical limits: cluster correlation (ICC) higher than assumed reduces effective sample size; LTFU above 15% undermines validity. AI risks: model performance drop in low‑prevalence subgroups; AUROC insensitive to calibration and PPV/NPV changes. Privacy risks: re‑identification from rich linked datasets if salts/keys mismanaged; legal uncertainty for secondary analyses. Operational risks: provider gaming of GOPs or upcoding; uneven recruitment across regions. Scalability limits: computational cost of monthly Monte‑Carlo pricing and large FHIR bulk export for thousands of encounters; generalization: framework tuned to German EBM (GOP) may not map directly to other billing systems. No mitigation measures are included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