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bayesian_pk_tdm_adherence</w:t>
      </w:r>
    </w:p>
    <w:p>
      <w:r>
        <w:t xml:space="preserve"> </w:t>
      </w:r>
    </w:p>
    <w:p>
      <w:pPr>
        <w:pStyle w:val="Heading2"/>
      </w:pPr>
      <w:r>
        <w:t>Title</w:t>
      </w:r>
    </w:p>
    <w:p>
      <w:r>
        <w:t>A Bayesian pharmacokinetic framework integrating therapeutic drug monitoring to infer adherence to antiseizure medications</w:t>
      </w:r>
    </w:p>
    <w:p>
      <w:r>
        <w:t xml:space="preserve"> </w:t>
      </w:r>
    </w:p>
    <w:p>
      <w:pPr>
        <w:pStyle w:val="Heading2"/>
      </w:pPr>
      <w:r>
        <w:t>Short Hypothesis</w:t>
      </w:r>
    </w:p>
    <w:p>
      <w:r>
        <w:t>A Bayesian PK–TDM model that combines validated population pharmacokinetic models, individual covariates, dosing history, and prior adherence probabilities will detect missed or consecutive missed antiseizure medication doses with an increase in area under the ROC curve (AUC) of at least 0.10 compared with standard trough‑threshold rules in clinical trial simulations.</w:t>
      </w:r>
    </w:p>
    <w:p>
      <w:r>
        <w:t xml:space="preserve"> </w:t>
      </w:r>
    </w:p>
    <w:p>
      <w:pPr>
        <w:pStyle w:val="Heading2"/>
      </w:pPr>
      <w:r>
        <w:t>Related Work</w:t>
      </w:r>
    </w:p>
    <w:p>
      <w:r>
        <w:t>Existing approaches include simple TDM threshold rules (using a single concentration cutoff), population PK models used for dose individualization, Bayesian therapeutic drug monitoring (Bayesian forecasting of concentrations), and latent‑state models or hidden Markov models (HMMs) for adherence from secondary data. Limitations are: threshold rules ignore timing, covariates and PK dynamics and therefore give many false positives/negatives; standard population PK or Bayesian forecasting without an explicit latent adherence process cannot separate PK variability from nonadherence; prior HMM or classifier approaches often ignore drug‑specific nonlinearities (e.g., Michaelis–Menten for phenytoin), time‑varying induction (carbamazepine), and protein‑binding effects (valproate), reducing identifiability; sparse and opportunistic sampling in outpatient TDM and timestamp errors reduce information; few methods perform decision‑analytic calibration tied to clinical outcomes or provide rigorous approximation validation (MAP/particle vs full MCMC).</w:t>
      </w:r>
    </w:p>
    <w:p>
      <w:r>
        <w:t xml:space="preserve"> </w:t>
      </w:r>
    </w:p>
    <w:p>
      <w:pPr>
        <w:pStyle w:val="Heading2"/>
      </w:pPr>
      <w:r>
        <w:t>Abstract</w:t>
      </w:r>
    </w:p>
    <w:p>
      <w:r>
        <w:t>We address the problem of inferring patient adherence to antiseizure medications (ASMs) from therapeutic drug monitoring (TDM) data. We propose a Bayesian framework that couples drug‑specific population pharmacokinetic (PK) models with a latent per‑dose adherence process to compute posterior probabilities of dose behaviors (on‑time, delayed, partial, missed, multi‑day holiday). The model integrates individual covariates (age, weight, creatinine clearance), dosing history, timestamp uncertainty, censoring below assay limits, and prior adherence probabilities. Main contributions are: (1) a unified hierarchical model that embeds per‑dose latent states into the PK likelihood; (2) validated weakly informative priors for 14 common ASMs including nonlinear and induction kinetics; (3) a simulation‑estimation evaluation suite that quantifies identifiability, calibration, and decision thresholds, and (4) preplanned approximation validation comparing MAP and particle‑based online updates against full MCMC. Expected outcomes are improved and calibrated probabilistic detection of nonadherence under realistic TDM sampling, with concrete operating thresholds for clinical use and quantified trade‑offs between accuracy and computational latency.</w:t>
      </w:r>
    </w:p>
    <w:p>
      <w:r>
        <w:t xml:space="preserve"> </w:t>
      </w:r>
    </w:p>
    <w:p>
      <w:pPr>
        <w:pStyle w:val="Heading2"/>
      </w:pPr>
      <w:r>
        <w:t>Experiments</w:t>
      </w:r>
    </w:p>
    <w:p>
      <w:r>
        <w:t>Datasets: 1) Synthetic seeded cohorts per drug (levetiracetam, phenytoin, carbamazepine, valproate and 10 others) generated from validated population PK models with ground‑truth per‑dose latent states; cohort sizes N=1,000 and N=5,000 for sensitivity; scenarios: per‑dose miss rates {0.05,0.2,0.4}, consecutive misses {2,3,7 days}, delays {±6,±12,±24 h}, partial doses {50%,75%}, induction window sampling for carbamazepine, and covariate subgroups (renal/hepatic impairment, pregnancy, albumin low/high). 2) External real TDM registry placeholders (de‑identified clinical TDM sets) for hold‑out validation (minimum N=500 per drug where available). Baselines: (A) single trough threshold rule, (B) Bayesian PK forecasting without latent states, (C) HMM on concentration time series without PK linkage, (D) MAP‑only joint model. Metrics: AUC (ROC), sensitivity, specificity, positive predictive value (PPV), negative predictive value (NPV), Brier score (calibration), calibration slope/intercept, coverage of posterior intervals, bias and RMSE of PK parameters, Rhat and ESS (convergence), wall‑time/runtime, and decision utility (net benefit and seizures‑averted per 1,000 patients using an attached seizure‑risk mapping). Experimental setup: implement hierarchical HMM–PK joint model in Stan (full MCMC) and a particle/Rao‑Blackwellized filter + MAP engine for online updates. MCMC settings: 4 chains, 4,000 iterations (2,000 warmup), adapt_delta=0.95; run 100–500 simulation‑estimation replicates per scenario. Ablations/comparisons: (1) remove timestamp uncertainty modeling vs full model; (2) remove covariates (age/weight/CrCl) vs full model; (3) collapse protein‑binding (valproate/phenytoin) to linear clearance vs full binding model; (4) remove induction dynamics for carbamazepine; (5) compare MAP and particle approximations to MCMC on bias in P(nonadherence), calibration curves, AUC, RMSE of PK params, and coverage. Acceptance tests: improvement AUC ≥0.10 vs trough rule on synthetic cohorts and maintained calibration (Brier decrease), with approximation bias limits pre‑specified (absolute bias in P(nonadherence) ≤0.05).</w:t>
      </w:r>
    </w:p>
    <w:p>
      <w:r>
        <w:t xml:space="preserve"> </w:t>
      </w:r>
    </w:p>
    <w:p>
      <w:pPr>
        <w:pStyle w:val="Heading2"/>
      </w:pPr>
      <w:r>
        <w:t>Risk Factors And Limitations</w:t>
      </w:r>
    </w:p>
    <w:p>
      <w:r>
        <w:t>1) Identifiability failure: sparse sampling, noisy timestamps, or high between‑subject variability may make it impossible to separate nonadherence from PK changes (e.g., enzyme induction or altered protein binding). 2) Model misspecification: incorrect structural PK model (wrong compartments, missing induction or saturable binding) can bias adherence probabilities. 3) Data bias: synthetic generator may not capture real‑world missingness or unobserved confounders; external TDM registries may have selection bias. 4) Assay and lab heterogeneity: differing assays or LLOQ levels across sites can change detectability and reduce generalization. 5) Computational cost: full MCMC can be slow at scale; approximation errors (MAP/particle) may degrade decision quality if not validated. 6) Clinical translation limits: probability thresholds require decision calibration tied to seizure risk; false positives can harm patient trust and false negatives can miss treatment opportunities. 7) Regulatory and privacy constraints: accessing sufficient real TDM datasets for external validation may be limited by governance. 8) Generalization across drugs: drug‑specific nonlinearities (Michaelis–Menten), induction kinetics, and binding effects impose varied data needs; one framework may not perform equally across all 14 ASMs. 9) Ethical risks: probabilistic adherence flags may be misinterpreted or stigmatize patients if communicated without uncertainty.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