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causalaime_unified_global_explain</w:t>
      </w:r>
    </w:p>
    <w:p>
      <w:r>
        <w:t xml:space="preserve"> </w:t>
      </w:r>
    </w:p>
    <w:p>
      <w:pPr>
        <w:pStyle w:val="Heading2"/>
      </w:pPr>
      <w:r>
        <w:t>Title</w:t>
      </w:r>
    </w:p>
    <w:p>
      <w:r>
        <w:t>Integrating approximate inverse model explanations with the Peter-Clark causal discovery algorithm for unified global feature explanation in healthcare</w:t>
      </w:r>
    </w:p>
    <w:p>
      <w:r>
        <w:t xml:space="preserve"> </w:t>
      </w:r>
    </w:p>
    <w:p>
      <w:pPr>
        <w:pStyle w:val="Heading2"/>
      </w:pPr>
      <w:r>
        <w:t>Short Hypothesis</w:t>
      </w:r>
    </w:p>
    <w:p>
      <w:r>
        <w:t>A calibrated fusion of approximate inverse model alignment scores and Peter-Clark bootstrap edge frequencies increases true positive detection of causal edges and improves sign-specific, class-specific global feature explanations in electronic health record (EHR) data compared to using the Peter-Clark algorithm alone.</w:t>
      </w:r>
    </w:p>
    <w:p>
      <w:r>
        <w:t xml:space="preserve"> </w:t>
      </w:r>
    </w:p>
    <w:p>
      <w:pPr>
        <w:pStyle w:val="Heading2"/>
      </w:pPr>
      <w:r>
        <w:t>Related Work</w:t>
      </w:r>
    </w:p>
    <w:p>
      <w:r>
        <w:t>Prior work splits into two families: causal discovery algorithms (for example, constraint-based methods like the Peter-Clark/PC algorithm and variants that allow latent confounding such as FCI) and model-based explanation methods (for example, inverse or approximate inverse models that map predictions back to inputs to produce feature attributions). Causal discovery methods provide graph structure but suffer from instability under multicollinearity, missing data, and measurement error; they also produce orientation uncertainty and are sensitive to CI-test choice and conditioning-set limits. Inverse-model explanations give class-specific, signed attributions but are model-dependent and can conflate correlation with causation. Existing healthcare applications rarely combine these views: they either provide data-driven causal graphs without class-specific signs, or model-dependent global importances without causal orientation. Gaps include: (1) no established fusion that yields calibrated probabilities of adjacency and orientation, (2) limited handling of MNAR/mismeasurement in discovery pipelines, (3) insufficient evaluation under EHR-like noise, and (4) lack of unified presentation that is both sign-aware and clinician-validated.</w:t>
      </w:r>
    </w:p>
    <w:p>
      <w:r>
        <w:t xml:space="preserve"> </w:t>
      </w:r>
    </w:p>
    <w:p>
      <w:pPr>
        <w:pStyle w:val="Heading2"/>
      </w:pPr>
      <w:r>
        <w:t>Abstract</w:t>
      </w:r>
    </w:p>
    <w:p>
      <w:r>
        <w:t>We present a unified framework, causalaime, that combines approximate inverse model explanations (AIME)—which produce class-specific, signed inverse alignments between model outputs and inputs—with bootstrap-stable Peter-Clark (PC) causal discovery to produce calibrated global feature explanations for healthcare data. The method computes per-edge PC stability frequencies and inverse-alignment scores, then fuses them via a calibrated logit-linear rule to produce edge-confidence probabilities and orientation estimates. The framework explicitly propagates uncertainty through bootstraps, supports time-structured representations (dynamic vs aggregated), and includes sensitivity modules for MNAR, selection, and measurement error. Main contributions are (1) a preregisterable fusion and uncertainty-propagation protocol that reconciles model-dependent and data-driven importance, (2) a set of decision rules and calibration regimes for publication thresholds, and (3) evaluation strategies including semi-synthetic calibration DAGs and clinician-blinded validation. Expected outcomes are better calibrated adjacency probabilities, improved sign-specific global explanations for classes of interest, and clearer downgrade rules for edges that are sensitive to realistic EHR biases.</w:t>
      </w:r>
    </w:p>
    <w:p>
      <w:r>
        <w:t xml:space="preserve"> </w:t>
      </w:r>
    </w:p>
    <w:p>
      <w:pPr>
        <w:pStyle w:val="Heading2"/>
      </w:pPr>
      <w:r>
        <w:t>Experiments</w:t>
      </w:r>
    </w:p>
    <w:p>
      <w:r>
        <w:t>Datasets: (1) Semi-synthetic calibration DAGs derived from MIMIC-style EHR covariate structure (used for weight calibration and grid search); (2) Real EHR cohorts (MIMIC-III and eICU or equivalent) for discovery; (3) Held-out synthetic DAGs for power and operating-characteristic estimation. Baselines: (A) PC-only discovery with bootstrap stability, (B) AIME-only global attributions (model-dependent), (C) FCI/FCI+ when latent confounding suspected, (D) naive fusion ablations (w1-only: PC-only; w2-only: inverse-only). Evaluation metrics: adjacency precision, adjacency recall (true positive rate), orientation accuracy, structural Hamming distance (counts graph errors), Brier score for fused edge calibration (lower is better), expected calibration error (ECE), sign accuracy (fraction of edges where predicted sign matches ground truth), ATE bias and RMSE for pre-specified edges, and clinician plausibility rate and decision-simulation improvement (%) in clinician study. Experimental setup: bootstrap B=500 for main runs; calibration of fusion weights (w1,w2,b0) by Brier-score minimization on held-out calibration DAGs; simulation grid: N in {500,1000,2500,5000}, missingness 0–40% (MAR and MNAR patterns), measurement reliabilities ρ∈{0.6,0.8,1.0}, graph sparsity levels (edge density low/medium/high), nonlinear effects and interactions included. Ablations: (1) fusion weight ablation (w1-only, w2-only, equal weights), (2) time-representation ablation (DBN/dynamic vs aggregated summaries), (3) MNAR and SIMEX disabled vs enabled, (4) DP noise applied at ε∈{0.1,0.5,1,2} to assess utility loss. Protocol: for each simulation cell, run discovery, compute fused confidences, record metrics, then evaluate operating-characteristics (FDR, power, false-orientation) and report threshold sensitivity. Clinician validation: recruit ≥12 clinicians, each reviews 20 vignettes (blinded, randomized); report plausibility rate and cluster-adjusted change in decision metric with ICC/Krippendorff alpha for rater agreement.</w:t>
      </w:r>
    </w:p>
    <w:p>
      <w:r>
        <w:t xml:space="preserve"> </w:t>
      </w:r>
    </w:p>
    <w:p>
      <w:pPr>
        <w:pStyle w:val="Heading2"/>
      </w:pPr>
      <w:r>
        <w:t>Risk Factors And Limitations</w:t>
      </w:r>
    </w:p>
    <w:p>
      <w:r>
        <w:t>Model and identifiability risks: causal discovery may fail under strong unmeasured confounding, feedback loops, or when instruments/proxies are invalid; fused probabilities can be miscalibrated if calibration DAGs are unrepresentative. Data risks: EHRs often contain MNAR patterns, miscoding, and low measurement reliability that reduce power and bias CI tests. Statistical risks: thresholds (e.g., ESS_lag, confidence cutoffs) may not generalize across settings and can yield false positives or false negatives; orientation accuracy is typically lower than adjacency accuracy. Computational and scaling limits: bootstrap B≥500 with DP and MNAR modules is compute-intensive and may require large CPU/GPU budgets; DP mechanisms will reduce utility and can obscure low-frequency edges. Evaluation and human factors: clinician validation may be biased by vignette realism, reviewer selection, and blinding limits; results may not transfer to other hospitals or patient populations (limited transportability). Regulatory and privacy limits: compositional privacy accounting is complex and may constrain allowable analyses and hyperparameter tuning.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