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xai_synth_aug_brain_age</w:t>
      </w:r>
    </w:p>
    <w:p>
      <w:r>
        <w:t xml:space="preserve"> </w:t>
      </w:r>
    </w:p>
    <w:p>
      <w:pPr>
        <w:pStyle w:val="Heading2"/>
      </w:pPr>
      <w:r>
        <w:t>Title</w:t>
      </w:r>
    </w:p>
    <w:p>
      <w:r>
        <w:t>Evaluating the effects of real-data and diffusion-model synthetic MRI augmentation on CNN brain-age prediction accuracy and explanation stability</w:t>
      </w:r>
    </w:p>
    <w:p>
      <w:r>
        <w:t xml:space="preserve"> </w:t>
      </w:r>
    </w:p>
    <w:p>
      <w:pPr>
        <w:pStyle w:val="Heading2"/>
      </w:pPr>
      <w:r>
        <w:t>Short Hypothesis</w:t>
      </w:r>
    </w:p>
    <w:p>
      <w:r>
        <w:t>Training a CNN for brain-age prediction with diffusion-model synthetic MRI augmentation reduces mean absolute error (MAE) and increases explanation stability (higher deletion/insertion AUC and higher localization Dice) compared to (a) no augmentation and (b) augmentation using additional real OASIS-3 scans.</w:t>
      </w:r>
    </w:p>
    <w:p>
      <w:r>
        <w:t xml:space="preserve"> </w:t>
      </w:r>
    </w:p>
    <w:p>
      <w:pPr>
        <w:pStyle w:val="Heading2"/>
      </w:pPr>
      <w:r>
        <w:t>Related Work</w:t>
      </w:r>
    </w:p>
    <w:p>
      <w:r>
        <w:t>Existing work applies explainable AI (XAI) methods (gradient-based saliency, occlusion, Shapley-value approximations) to neuroimaging models and uses synthetic data (GANs, early diffusion models) for augmentation. Prior studies show synthetic augmentation can improve predictive accuracy but often evaluate only single-site splits, report limited privacy/realism checks, and rarely measure how augmentation affects explanations. XAI evaluations typically focus on qualitative maps or single metrics and lack cross-site stability tests. Generative-model privacy risks (memorization, membership inference) and scanner-specific leakage are under-tested. Few studies perform paired within-subject counterfactuals (lesion insertion/removal) to causally validate attribution methods. Limitations: inconsistent realism metrics, sparse differential-privacy accounting, limited hierarchical statistical inference across sites, and scarce ablations comparing real-data vs modern diffusion synthetic augmentation with multi-method XAI evaluation.</w:t>
      </w:r>
    </w:p>
    <w:p>
      <w:r>
        <w:t xml:space="preserve"> </w:t>
      </w:r>
    </w:p>
    <w:p>
      <w:pPr>
        <w:pStyle w:val="Heading2"/>
      </w:pPr>
      <w:r>
        <w:t>Abstract</w:t>
      </w:r>
    </w:p>
    <w:p>
      <w:r>
        <w:t>We address whether modern synthetic MRI augmentation changes both predictive performance and explanation stability of convolutional neural networks (CNNs) for brain-age estimation. We compare three training conditions: baseline (no augmentation), augmentation with additional real OASIS-3 scans, and augmentation with diffusion-model synthetic MRIs. Predictive performance is measured by mean absolute error (MAE) on leave-one-site-out (LOSO) evaluation to test cross-site generalization. Explanation stability and faithfulness are measured using multiple XAI methods (DeepSHAP, Grad-CAM, occlusion), by computing deletion/insertion curves, top-k localization Dice against lesion masks or anatomically inserted lesions, and intra-class correlation (ICC) of attribution maps. We use hierarchical linear mixed models (random effects for site and subject), permutation omnibus tests, and FDR control for inference. The main contribution is an integrated, reproducible evaluation that quantifies trade-offs between accuracy, explanation stability, realism, and privacy for diffusion-based synthetic augmentation. Expected outcome: clear, testable guidance on when synthetic augmentation helps or harms model accuracy and interpretability across sites.</w:t>
      </w:r>
    </w:p>
    <w:p>
      <w:r>
        <w:t xml:space="preserve"> </w:t>
      </w:r>
    </w:p>
    <w:p>
      <w:pPr>
        <w:pStyle w:val="Heading2"/>
      </w:pPr>
      <w:r>
        <w:t>Experiments</w:t>
      </w:r>
    </w:p>
    <w:p>
      <w:r>
        <w:t>Datasets: OASIS-3 structural T1-weighted MRIs split by scanner/site for LOSO folds; held-out external site if available. Create lesion-positive subset from available clinical labels and generate anatomically constrained synthetic lesion insertions (using FreeSurfer priors) for within-subject counterfactuals. Arms: (1) baseline training (no augmentation); (2) real-data augmentation (augment training folds with additional OASIS-3 scans, matched by site distribution); (3) diffusion synthetic augmentation (add synthetic T1 scans from a diffusion model trained on OASIS-3). Model: 3D ResNet backbone (3D CNN) with identical architecture and hyperparameters across arms. Training: AdamW, lr=1e-4, batch=8, early stopping on validation MAE, run 10 random seeds per arm. Augmentation schedule: add synthetic/real samples at 1:1 ratio to original training set; ablate with 0.5:1 and 2:1 ratios. Evaluation: LOSO test MAE (mean absolute error; lower is better). XAI: compute DeepSHAP (Shapley-based), Grad-CAM (gradient-weighted activation maps), and occlusion maps (systematic masking). Metrics: deletion/insertion AUC (compute prediction change while removing/adding top-ranked voxels, integrate over r in [0,1] with 101 points), top-k Dice for k=5% and k=10% comparing top-k salient voxels to lesion masks (handle ties by including all voxels with equal score until k or using deterministic tie-break seed), explanation ICC (intra-class correlation across seeds and LOSO folds), scanner-leakage classifier AUC (detect whether synthetic/augmented data reveals scanner label), membership-inference advantage. Statistical analysis: hierarchical linear mixed models (fixed effect: augmentation arm encoded as categorical with baseline reference; random intercepts for Site and Subject; random slope for Augment by Site implemented as a site-by-arm random effect matrix with shrinkage priors), permutation omnibus test preserving within-subject counterfactual pairings for each primary endpoint, Benjamini–Hochberg FDR across pairwise contrasts. Ablations: (A) augmentation ratio (0.5x,1x,2x), (B) synthetic realism threshold (accept/reject generator by SSIM/FID), (C) differential privacy noise levels (ε values: 1,10,∞) added during generator training to produce utility-vs-privacy curves. Reporting: mean±95% CI across seeds and bootstrap sites; p-values from calibrated permutation tests; effect sizes (ΔMAE, ΔDice_topk, Δdeletion/insertion AUC).</w:t>
      </w:r>
    </w:p>
    <w:p>
      <w:r>
        <w:t xml:space="preserve"> </w:t>
      </w:r>
    </w:p>
    <w:p>
      <w:pPr>
        <w:pStyle w:val="Heading2"/>
      </w:pPr>
      <w:r>
        <w:t>Risk Factors And Limitations</w:t>
      </w:r>
    </w:p>
    <w:p>
      <w:r>
        <w:t>Generative realism failure: synthetic images may not match real anatomy, producing misleading attributions. Privacy and memorization: diffusion models can leak training images (membership inference, inversion). Scanner leakage: synthetic data may encode scanner-specific signals, reducing cross-site generalization. Non-independence: multiple synthetics derived from one real scan create dependence that complicates inference if not modeled. Label quality: lesion masks or clinical labels may be noisy or inconsistent, biasing localization metrics. XAI method sensitivity: different attribution methods may disagree; stability metrics depend on method choice. Compute cost: training 3D diffusion models and repeated LOSO experiments requires high GPU hours and storage. Statistical risks: incorrect permutation/exchangeability assumptions for LOSO can inflate Type I error if pairings are mishandled. Generalization limits: results on OASIS-3 and generated synthetics may not transfer to other populations, scanners, or disease types. Regulatory/ethical limits: differential-privacy constraints may reduce generator utility and limit reproducibility of public releases.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