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thai_c19_yrsm_validation</w:t>
      </w:r>
    </w:p>
    <w:p>
      <w:r>
        <w:t xml:space="preserve"> </w:t>
      </w:r>
    </w:p>
    <w:p>
      <w:pPr>
        <w:pStyle w:val="Heading2"/>
      </w:pPr>
      <w:r>
        <w:t>Title</w:t>
      </w:r>
    </w:p>
    <w:p>
      <w:r>
        <w:t>Cross-cultural adaptation and psychometric validation of the Thai modified COVID-19 Yorkshire Rehabilitation Scale in individuals with long COVID</w:t>
      </w:r>
    </w:p>
    <w:p>
      <w:r>
        <w:t xml:space="preserve"> </w:t>
      </w:r>
    </w:p>
    <w:p>
      <w:pPr>
        <w:pStyle w:val="Heading2"/>
      </w:pPr>
      <w:r>
        <w:t>Short Hypothesis</w:t>
      </w:r>
    </w:p>
    <w:p>
      <w:r>
        <w:t>The Thai modified COVID-19 Yorkshire Rehabilitation Scale total score will form a sufficiently strong single general factor that yields reliable scores and correlates at least 0.40 with validated Thai measures of fatigue, physical function, and quality of life.</w:t>
      </w:r>
    </w:p>
    <w:p>
      <w:r>
        <w:t xml:space="preserve"> </w:t>
      </w:r>
    </w:p>
    <w:p>
      <w:pPr>
        <w:pStyle w:val="Heading2"/>
      </w:pPr>
      <w:r>
        <w:t>Related Work</w:t>
      </w:r>
    </w:p>
    <w:p>
      <w:r>
        <w:t>Existing work has translated and validated post-COVID symptom scales and rehabilitation measures using classical test theory (CTT) and item response theory (IRT). Common approaches include exploratory factor analysis (EFA) and confirmatory factor analysis (CFA) to test dimensionality (CFA checks if items fit a proposed factor structure), and IRT models (which estimate how well each item discriminates across severity). Prior studies often report internal consistency (Cronbach alpha), test–retest reliability, and simple anchor correlations for validity. Limitations of current methods are: small sample sizes that reduce stability of CFA/IRT parameters, sparse attention to cross-cultural content validity and low-literacy adaptation, inconsistent handling of ordered response scales (0–10) in IRT vs CTT, limited routine testing for differential item functioning (DIF, which checks if items work differently across groups), and weak pre-specification of decision rules for item retention or remediation. These gaps reduce reproducibility and may mask bias across regions, literacy levels, and administration modes.</w:t>
      </w:r>
    </w:p>
    <w:p>
      <w:r>
        <w:t xml:space="preserve"> </w:t>
      </w:r>
    </w:p>
    <w:p>
      <w:pPr>
        <w:pStyle w:val="Heading2"/>
      </w:pPr>
      <w:r>
        <w:t>Abstract</w:t>
      </w:r>
    </w:p>
    <w:p>
      <w:r>
        <w:t>We will translate and cross-culturally adapt the modified COVID-19 Yorkshire Rehabilitation Scale into Thai and evaluate its measurement properties in adults with long COVID. The study will combine qualitative cognitive interviews and quantitative psychometric testing to produce a culturally appropriate Thai instrument and evidence for its use. Psychometric analyses will test dimensionality (exploratory and confirmatory factor analysis), reliability (internal consistency, test–retest), item-level functioning using graded response IRT (GRM), and measurement equivalence including DIF across age, sex, region, literacy, and administration mode. Construct validity will be assessed by correlations with validated Thai anchors for fatigue, physical function, and quality of life. We will also estimate interpretability metrics including standard error of measurement, minimal detectable change, and anchor-based minimal clinically important difference. Expected outcomes are a validated Thai C19-YRSm with documented translation rationale, pre-specified rules for item retention, and reproducible analysis code to support clinical use and research in Thailand.</w:t>
      </w:r>
    </w:p>
    <w:p>
      <w:r>
        <w:t xml:space="preserve"> </w:t>
      </w:r>
    </w:p>
    <w:p>
      <w:pPr>
        <w:pStyle w:val="Heading2"/>
      </w:pPr>
      <w:r>
        <w:t>Experiments</w:t>
      </w:r>
    </w:p>
    <w:p>
      <w:r>
        <w:t>Datasets: pilot sample n=150 for EFA; main validation sample n=600 adults with long COVID recruited across regions with quotas for low literacy, rural/urban, older adults; test–retest subsample n=75 (7–14 days); mode-equivalence substudy n=100; MCID follow-up cohort n=200 with PGIC at follow-up. Baseline anchors: Thai SF-36 physical function, Thai EQ-5D-5L, Thai FACIT-F or Chalder Fatigue Scale, and Thai FES-I for fall concern. Baselines for comparison: scoring and psychometrics of the Thai C19-YRSm versus (a) CTT-only pipeline (EFA→CFA→Cronbach alpha) and (b) CFA+IRT pipeline (CFA→bifactor→GRM). Evaluation metrics: CFA fit indices (CFI, TLI, RMSEA, SRMR); factor loadings; explained common variance (ECV) for bifactor (ECV = proportion of common variance due to general factor); internal consistency ordinal omega and Cronbach alpha; test–retest ICC(2,1); SEM and MDC95; GRM item discrimination parameters a and category thresholds; item information functions; item fit S-chi2; DIF tests using ordinal logistic regression and IRT likelihood-ratio tests with Nagelkerke delta R2; convergent validity correlations (Pearson or Spearman) with anchors expecting r &gt;= 0.40; MCID via anchor mean change in minimally improved group, ROC AUC and Youden index. Experimental setup: analysis order EFA→CFA (WLSMV primary estimator for ordinal data)→bifactor (compute ECV and percent uncontaminated correlations)→GRM fitting with mirt→item fit and information plots→DIF (lordif and mirt LRT) with BH FDR correction and effect-size threshold delta R2&gt;=0.02; invariance testing sequence configural→thresholds→loadings with delta CFI&lt;=0.01 criteria. Ablation studies: (1) compare GRM versus PCM performance and check effect on total score reliability; (2) collapse rare response categories versus full 0–10 scoring to test impact on discrimination and information; (3) compare scoring with and without DIF-adjusted items and report impact on group means and correlations. Software and reproducibility: scripted R pipeline using lavaan, mirt, lordif, semTools, and mice; record session info and seed for reproducibility.</w:t>
      </w:r>
    </w:p>
    <w:p>
      <w:r>
        <w:t xml:space="preserve"> </w:t>
      </w:r>
    </w:p>
    <w:p>
      <w:pPr>
        <w:pStyle w:val="Heading2"/>
      </w:pPr>
      <w:r>
        <w:t>Risk Factors And Limitations</w:t>
      </w:r>
    </w:p>
    <w:p>
      <w:r>
        <w:t>Technical failure modes: insufficient sample sizes in subgroup cells may destabilize CFA or IRT parameter estimates and limit DIF power; disordered thresholds may persist despite rewording, reducing interpretability of 0–10 responses. Data and evaluation biases: recruitment bias toward urban or digitally connected participants could limit generalizability; anchor measures may not map perfectly to all C19-YRSm domains, weakening construct validity estimates. Scalability and compute limits: IRT calibration and large DIF testing can be computationally intensive for many items and subgroups, slowing iterative analyses. Limits to generalization: validation will be specific to Thai language and cultural context and may not apply to other languages or to populations with very different healthcare contexts. Measurement constraints: unmodeled local dependence among items can inflate reliability and distort factor structure; mode effects (self vs interviewer vs electronic) may affect scores and complicate pooling. Regulatory and privacy constraints: PDPA or ethics restrictions may limit public sharing of item-level data, reducing external reanalysis.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