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cleavenet_protease_design</w:t>
      </w:r>
    </w:p>
    <w:p>
      <w:r>
        <w:t xml:space="preserve"> </w:t>
      </w:r>
    </w:p>
    <w:p>
      <w:pPr>
        <w:pStyle w:val="Heading2"/>
      </w:pPr>
      <w:r>
        <w:t>Title</w:t>
      </w:r>
    </w:p>
    <w:p>
      <w:r>
        <w:t>Deep learning-guided conditional generation of peptide substrates for targeted protease specificity profiling</w:t>
      </w:r>
    </w:p>
    <w:p>
      <w:r>
        <w:t xml:space="preserve"> </w:t>
      </w:r>
    </w:p>
    <w:p>
      <w:pPr>
        <w:pStyle w:val="Heading2"/>
      </w:pPr>
      <w:r>
        <w:t>Short Hypothesis</w:t>
      </w:r>
    </w:p>
    <w:p>
      <w:r>
        <w:t>Conditioning a peptide sequence generator on a multi-output model that predicts continuous cleavage scores across proteases will increase the fraction of synthesized candidates that are cleaved by a targeted protease compared to candidates selected by unguided generation or sequence-only scoring.</w:t>
      </w:r>
    </w:p>
    <w:p>
      <w:r>
        <w:t xml:space="preserve"> </w:t>
      </w:r>
    </w:p>
    <w:p>
      <w:pPr>
        <w:pStyle w:val="Heading2"/>
      </w:pPr>
      <w:r>
        <w:t>Related Work</w:t>
      </w:r>
    </w:p>
    <w:p>
      <w:r>
        <w:t>Existing approaches for protease substrate discovery fall into three families: (1) motif- or position-weight-based scoring derived from annotated substrates; these are simple and fast but treat cleavage as binary and ignore context and competition between sites; (2) single-protease machine-learning classifiers or regression models that predict cleavage from sequence features; these can predict continuous activity but are typically trained per protease, often poorly calibrated, and do not support conditional design across multiple enzymes; (3) physics-based structure methods (docking, molecular dynamics) that estimate geometry/energetics but are compute-intensive and scale poorly for large libraries. Generative peptide models have been used in related peptide design tasks but rarely coupled to multi-output cleavage predictors or to experimental detectability models. Current weaknesses include label-noise from mass-spectrometry detectability, limited handling of noncanonical residues and ambiguous site localization, lack of end-to-end conditional generation, and scarce methods integrating uncertainty-aware active learning for iterative experimental selection.</w:t>
      </w:r>
    </w:p>
    <w:p>
      <w:r>
        <w:t xml:space="preserve"> </w:t>
      </w:r>
    </w:p>
    <w:p>
      <w:pPr>
        <w:pStyle w:val="Heading2"/>
      </w:pPr>
      <w:r>
        <w:t>Abstract</w:t>
      </w:r>
    </w:p>
    <w:p>
      <w:r>
        <w:t>We address scalable nomination of peptide substrates for protease profiling by integrating predictive and generative deep learning with experimental-aware scoring. The method learns a multi-output sequence-to-function model that predicts continuous cleavage efficiencies across multiple proteases and pairs it with a conditional generative model that proposes peptide sequences targeted to desired cleavage profiles. Key contributions are: (1) joint multi-protease regression outputs that enable conditioning, (2) uncertainty-aware calibration to produce actionable confidence estimates, and (3) incorporation of an MS-detectability model to reduce label bias from measurement failures. The combined pipeline permits in silico screening of vast sequence space and prioritized selection of candidates for synthesis and assay, enabling more efficient discovery of substrates for families such as matrix metalloproteinases. Expected outcomes are higher hit rates among top-ranked candidates, better-calibrated confidence estimates for experimental planning, and a reusable framework to guide iterative active-learning cycles between modeling and high-throughput assays.</w:t>
      </w:r>
    </w:p>
    <w:p>
      <w:r>
        <w:t xml:space="preserve"> </w:t>
      </w:r>
    </w:p>
    <w:p>
      <w:pPr>
        <w:pStyle w:val="Heading2"/>
      </w:pPr>
      <w:r>
        <w:t>Experiments</w:t>
      </w:r>
    </w:p>
    <w:p>
      <w:r>
        <w:t>Datasets: (1) pilot experimental dataset: ~200 peptides per target protease family covering P4–P4' windows, including 100–200 positive events and matched negatives, with per-plate spike-in standards (8–10 peptides) for detectability calibration; (2) larger in silico candidate pool: 1e5–1e6 generated sequences for ranking; (3) withheld-protease test set: protease families held out for OOD generalization. Baselines: random selection, PWM/motif scoring, single-protease classifier (per-protease supervised model), physics-based ranking (docking/MM-GBSA scores), and a generative model without conditioning. Metrics: classification: PR-AUC (precision-recall area under curve; measures performance on imbalanced data), precision@k, top-k recall, Brier score, Expected Calibration Error (ECE), calibration-in-the-small; regression (kinetics): RMSE, MAE, Pearson/Spearman, concordance index, log-scale RMSE. Experimental setup: train multi-output model with binary cross-entropy/NLL for classification and MSE/NLL for kinetics regression; enforce substrate-level splits (no shared peptides across splits) and protease-family holdout folds with nested cross-validation for hyperparameter tuning. Calibration and uncertainty: implement MC Dropout (Monte Carlo dropout, a cheap Bayesian approximation) during inference and Temperature Scaling for post-hoc calibration; evaluate Deep Ensembles in an ablation. Active learning: run 3 iterative cycles with batch sizes 48–96 and pilot budget of 200 candidates using acquisition functions BALD (Bayesian active learning by disagreement), entropy, and expected-model-change; measure incremental PR-AUC improvement per cycle. Ablations: (A) remove structural features (sequence-only vs multimodal), (B) disable conditional generation (unguided generator), (C) omit detectability model (no propensity adjustment), (D) include vs exclude noncanonical residues. Evaluation: synthesize top-k candidates per method (k equal across methods), assay via DIA-MS with prespecified PSM→site rules (log2FC≥1, q≤0.05, ≥2/3 replicates) for binary calls and run kinetics on a subset (8 concentrations × 3 replicates). Compare hit-rate (precision@k), calibration metrics, and kinetic regression accuracy across methods and ablations.</w:t>
      </w:r>
    </w:p>
    <w:p>
      <w:r>
        <w:t xml:space="preserve"> </w:t>
      </w:r>
    </w:p>
    <w:p>
      <w:pPr>
        <w:pStyle w:val="Heading2"/>
      </w:pPr>
      <w:r>
        <w:t>Risk Factors And Limitations</w:t>
      </w:r>
    </w:p>
    <w:p>
      <w:r>
        <w:t>1) Mass-spectrometry site localization errors and altered fragmentation for noncanonical residues can produce ambiguous or incorrect site labels (technical failure mode). 2) Detectability bias: peptides with low ionization or poor retention may yield false negatives that confound training (data bias). 3) Label noise from multi-cleavage peptides and overlapping neo-termini may violate single-label assumptions and reduce model accuracy. 4) Model miscalibration under domain shift: uncertainty estimates may be unreliable for out-of-distribution proteases or chemistries. 5) Structural-feature limitations: AlphaFold confidence is low for short flexible peptides, making structure-derived features noisy; ensemble docking and MD are compute-intensive and scale poorly. 6) Compute and cost constraints: medium/heavy tiers (docking, MD, MM/GBSA) require substantial GPU hours and budget, limiting throughput. 7) Assay confounders: enzyme instability, autolysis, aggregation, or labeling artifacts can bias kinetics and cleavage calls. 8) Limited generalization: trained models may not transfer to distant protease families or to heavily modified noncanonical chemistries. 9) Governance risks: noncanonical chemistries raise IP and biosafety concerns that can restrict data sharing or experimental scope.</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