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reconnab_multimers</w:t>
      </w:r>
    </w:p>
    <w:p>
      <w:r>
        <w:t xml:space="preserve"> </w:t>
      </w:r>
    </w:p>
    <w:p>
      <w:pPr>
        <w:pStyle w:val="Heading2"/>
      </w:pPr>
      <w:r>
        <w:t>Title</w:t>
      </w:r>
    </w:p>
    <w:p>
      <w:r>
        <w:t>Design and evaluation of reconnab-multimers combining conserved-epitope pan-betacoronavirus antibodies with catalytically inactive ACE2 to achieve broad, avidity-driven neutralization</w:t>
      </w:r>
    </w:p>
    <w:p>
      <w:r>
        <w:t xml:space="preserve"> </w:t>
      </w:r>
    </w:p>
    <w:p>
      <w:pPr>
        <w:pStyle w:val="Heading2"/>
      </w:pPr>
      <w:r>
        <w:t>Short Hypothesis</w:t>
      </w:r>
    </w:p>
    <w:p>
      <w:r>
        <w:t>Multimeric constructs that pair a pan-betacoronavirus antibody targeting a conserved spike epitope with a catalytically inactive ACE2 domain increase neutralization potency and breadth against ACE2-using betacoronaviruses compared with the antibody alone, yielding at least a 5-fold improvement in apparent affinity and lowering pseudovirus IC50s across ≥80% of a 12-strain panel.</w:t>
      </w:r>
    </w:p>
    <w:p>
      <w:r>
        <w:t xml:space="preserve"> </w:t>
      </w:r>
    </w:p>
    <w:p>
      <w:pPr>
        <w:pStyle w:val="Heading2"/>
      </w:pPr>
      <w:r>
        <w:t>Related Work</w:t>
      </w:r>
    </w:p>
    <w:p>
      <w:r>
        <w:t>Existing approaches include broadly neutralizing antibodies that target conserved RBD or non-RBD spike sites, soluble ACE2 decoys that compete with host receptor binding, engineered multivalent minibinders that exploit avidity (combined strength of multiple simultaneous bindings), and bispecific or fusion formats that combine two binding modalities. Limitations in prior work are narrow variant breadth for many monoclonal antibodies due to mutation-prone epitopes, residual catalytic activity or short half-life for some ACE2 decoys, reduced manufacturability or high aggregation for complex multimers, and rapid viral escape under monotherapy pressure. Computational designs often mispredict affinity changes without tight experimental calibration, and pseudovirus assays sometimes fail to fully predict live-virus neutralization, leaving gaps in regulatory‑grade validation and translational readiness.</w:t>
      </w:r>
    </w:p>
    <w:p>
      <w:r>
        <w:t xml:space="preserve"> </w:t>
      </w:r>
    </w:p>
    <w:p>
      <w:pPr>
        <w:pStyle w:val="Heading2"/>
      </w:pPr>
      <w:r>
        <w:t>Abstract</w:t>
      </w:r>
    </w:p>
    <w:p>
      <w:r>
        <w:t>We propose a therapeutic format, termed reconnab-multimers, that links a pan-betacoronavirus antibody recognizing a highly conserved spike epitope with a catalytically inactivated ACE2 component in a multimeric architecture to leverage avidity for broad, evolution-resilient neutralization of ACE2-using betacoronaviruses. The core method is rational design and systematic evaluation of multimeric antibody–ACE2 fusions to maximize simultaneous multi-site engagement, measured binding stability, and neutralization across a prioritized variant panel. Main contributions are (1) a validated pipeline of biochemical, neutralization, structural, and computational calibration assays, (2) explicit numerical decision gates for potency, stability, and manufacturability, and (3) ablation data clarifying the roles of valency, linker geometry, ACE2 catalytic inactivation, and Fc format. Expected outcomes are lead candidates with substantially improved breadth and reduced susceptibility to single-point escape relative to antibody-alone controls, and a reproducible framework for rapid evaluation of future ACE2-tropic betacoronavirus threats.</w:t>
      </w:r>
    </w:p>
    <w:p>
      <w:r>
        <w:t xml:space="preserve"> </w:t>
      </w:r>
    </w:p>
    <w:p>
      <w:pPr>
        <w:pStyle w:val="Heading2"/>
      </w:pPr>
      <w:r>
        <w:t>Experiments</w:t>
      </w:r>
    </w:p>
    <w:p>
      <w:r>
        <w:t>Datasets and materials: 12-strain panel consisting of ancestral SARS-CoV-2, Alpha, Beta, Delta, Omicron BA.1, Omicron BA.5, BA.2.75 (or current dominant sublineage), SARS-CoV-1, WIV1, SHC014, and two deep-mutational scanning (DMS)-derived escape RBD variants. Recombinant proteins: trimeric stabilized spike ectodomains and monomeric RBDs per variant. Controls: reference mAbs S309 and REGN10933/10987 mix, soluble wild-type ACE2, antibody-alone monomer, and ACE2-alone decoy. In vitro assays and baselines: (1) pseudovirus neutralization assay (single-cycle) measuring IC50 and IC90 (IC50: concentration reducing infectivity by 50%), baseline comparators as listed; (2) live-virus neutralization for ancestral and selected VOCs using plaque or focus assays; (3) SPR and BLI kinetic binding (kon, koff, KD where KD is dissociation constant, lower KD = tighter binding); (4) DSF (thermal melt Tm), SEC-MALS monomer fraction, DLS hydrodynamic radius; (5) transient expression titers in HEK293 and early CHO predictions. Replicates and statistics: primary endpoint log10(IC50); minimum three independent biological replicates with technical triplicates per assay; for key potency comparisons power calculation target 80% power to detect 2-fold IC50 differences, implemented with n=8 independent experiments where specified; use ANOVA or mixed-effects models on log10-transformed endpoints, alpha = 0.05, multiple testing correction by Benjamini-Hochberg. Calibration: benchmark computational ΔΔG predictions (Rosetta/FoldX or equivalent) and short MD outputs against measured KD and IC50 using linear regression; initial calibration dataset ≥30 matched points, target RMSE &lt;1 kcal/mol for ΔΔG vs experimental binding energy and Pearson r &gt;0.6 vs ln(KD) and ln(IC50). Lead nomination gates: pseudovirus IC50 desirable ≤1 nM, acceptable ≤10 nM across ≥80% panel; IC90 desirable ≤10 nM, acceptable ≤100 nM; fold-change vs ancestral ≤5× acceptable, ≤10× border case requiring live-virus confirmation; manufacturability: transient expression ≥50 mg/L, SEC monomer ≥90%, Tm ≥50°C. Ablation studies (comparisons): (A) full reconnab-multimer vs antibody-alone and ACE2-alone; (B) multimer valency variants (dimer, trimer, tetramer) to measure avidity effect; (C) linker length variants to test geometry; (D) ACE2 catalytic active vs catalytically inactive domain to confirm no catalytic dependence; (E) Fc-engaging vs Fc-silent formats to assess effector and immunogenicity effects. Escape-selection experiments: pseudovirus serial passage up to 10 passages, eight parallel lineages per candidate, antibody setpoints at 0.1×, 0.5×, 1×, 5× IC90, MOI=0.01, deep sequencing (Illumina) every two passages and at endpoint, variant reporting threshold 1% frequency; live-virus escape only after DU/IBC approval with up to 5 passages. In vivo studies: K18-hACE2 mice and Syrian hamsters, group sizes n=8 per group (powered for weight and lung titer endpoints), challenge dose 1e4 PFU intranasal (example), dosing routes IV and intranasal compared; primary endpoints lung infectious titer (PFU/g) at day 3 post-challenge, weight change day 0–7, survival to day 14; PK sampling for Cmin and AUC to define protective exposure. Evaluation metrics: IC50 and IC90 (nM), KD (nM), koff (s^-1), Tm (°C), SEC monomer (%), transient titer (mg/L), fold-change vs ancestral, lung PFU/g, percent weight change, survival fraction, ADA incidence (%) using validated bridging and neutralizing ADA assays. Data reporting: raw curves, FASTQ reads, SPR sensorgrams, SEC traces, and structural models deposited in versioned repository. Decision thresholds and statistical models are pre-registered; primary analysis on log10(IC50) with ANOVA/mixed effects and BH correction. Success criteria: lead nomination requires meeting potency, breadth, and manufacturability gates defined above and demonstrating protective in vivo exposure in two species.</w:t>
      </w:r>
    </w:p>
    <w:p>
      <w:r>
        <w:t xml:space="preserve"> </w:t>
      </w:r>
    </w:p>
    <w:p>
      <w:pPr>
        <w:pStyle w:val="Heading2"/>
      </w:pPr>
      <w:r>
        <w:t>Risk Factors And Limitations</w:t>
      </w:r>
    </w:p>
    <w:p>
      <w:r>
        <w:t>Technical failure modes: designed multimers may aggregate or fail to express at scalable titers, reducing effective avidity; linkers or valency choices may sterically block binding. Data and assay biases: pseudovirus neutralization may not fully predict live-virus outcomes (discordance risk), causing false leads or false negatives. Escape and evolution: viruses can acquire multi-site mutations that reduce binding despite conserved epitope targeting. Immunogenicity: multimers and ACE2 fusions can elicit anti-drug antibodies (ADA) that reduce exposure or neutralize activity. Scalability and CMC limits: transient titer thresholds (50 mg/L) may not translate to stable cell line fed-batch performance or GMP timelines. Computational limits: ΔΔG and short MD predictions may have systematic errors and limited transferability to multivalent avidity effects. Biosafety and dual-use constraints: escape-selection experiments and sequence data require strict governance and may slow progress. Generalization limits: approach targets ACE2-using betacoronaviruses and may not protect against viruses using alternate receptors. Resource and timeline: high-quality structural, live-virus, and GLP-grade studies require weeks to months, so initial 7-day drafts will not be audit-ready.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