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digital_interventions_plantbased_meta</w:t>
      </w:r>
    </w:p>
    <w:p>
      <w:r>
        <w:t xml:space="preserve"> </w:t>
      </w:r>
    </w:p>
    <w:p>
      <w:pPr>
        <w:pStyle w:val="Heading2"/>
      </w:pPr>
      <w:r>
        <w:t>Title</w:t>
      </w:r>
    </w:p>
    <w:p>
      <w:r>
        <w:t>Systematic review and meta-analysis of digital interventions to increase plant-based consumption or reduce animal-based intake in nonclinical populations</w:t>
      </w:r>
    </w:p>
    <w:p>
      <w:r>
        <w:t xml:space="preserve"> </w:t>
      </w:r>
    </w:p>
    <w:p>
      <w:pPr>
        <w:pStyle w:val="Heading2"/>
      </w:pPr>
      <w:r>
        <w:t>Short Hypothesis</w:t>
      </w:r>
    </w:p>
    <w:p>
      <w:r>
        <w:t>Digital interventions that include behavior change techniques and personalized engagement cause greater increases in plant-based food consumption (measured in servings/day or grams/day) or greater reductions in animal-based intake compared with control or minimal-intervention conditions in nonclinical populations.</w:t>
      </w:r>
    </w:p>
    <w:p>
      <w:r>
        <w:t xml:space="preserve"> </w:t>
      </w:r>
    </w:p>
    <w:p>
      <w:pPr>
        <w:pStyle w:val="Heading2"/>
      </w:pPr>
      <w:r>
        <w:t>Related Work</w:t>
      </w:r>
    </w:p>
    <w:p>
      <w:r>
        <w:t>Existing work includes trials and reviews of mobile apps, SMS, web platforms, and other digital tools to change diet, and several meta-analyses of digital health for general healthy eating. Prior approaches differ by study design (RCTs, quasi-experimental, longitudinal), outcome measures (servings, grams, diet-quality indices), and by whether they assess environmental impacts (life-cycle assessment, LCA). Major limitations are inconsistent outcome units and lack of standardized conversion rules, sparse integration of environmental LCAs with health outcomes, variable quality in behavior-change technique (BCT) coding, small samples and short follow-ups, inconsistent handling of non-randomized studies, and limited equity reporting (digital access, LMIC data). Prior meta-analyses often exclude non-RCT designs, rarely propagate LCA mapping uncertainty, and lack prespecified rules for imputation of missing dispersions, multi-arm trials, and moderator analysis, leaving open questions about real-world effectiveness and which intervention features drive larger effects.</w:t>
      </w:r>
    </w:p>
    <w:p>
      <w:r>
        <w:t xml:space="preserve"> </w:t>
      </w:r>
    </w:p>
    <w:p>
      <w:pPr>
        <w:pStyle w:val="Heading2"/>
      </w:pPr>
      <w:r>
        <w:t>Abstract</w:t>
      </w:r>
    </w:p>
    <w:p>
      <w:r>
        <w:t>We will systematically review and meta-analyze digital interventions aimed at increasing plant-based food consumption or reducing animal-based intake in nonclinical populations. We will include randomized and nonrandomized longitudinal studies that report dietary or environmental outcomes. Interventions will be coded for behavior change techniques (BCTs) and digital features. Health outcomes will be harmonized to servings/day or grams/day and standardized effect sizes (Hedges' g) when needed. Environmental outcomes will be standardized per 1000 kcal (e.g., kgCO2e/1000 kcal) and mapped to preferred LCA databases using a probabilistic Monte Carlo approach (10,000 draws) to propagate mapping uncertainty. Missing variances will be imputed with prespecified formulas and default pre–post correlation r=0.5 (sensitivity 0.3, 0.7). Random-effects meta-analysis (REML) with Knapp–Hartung CIs will estimate pooled effects; meta-regression will test moderators only when data permit. The main contribution is an integrated, transparent synthesis linking dietary behavior change from digital tools to environmental impacts with prespecified conversion, imputation, and uncertainty rules to improve comparability and policy relevance.</w:t>
      </w:r>
    </w:p>
    <w:p>
      <w:r>
        <w:t xml:space="preserve"> </w:t>
      </w:r>
    </w:p>
    <w:p>
      <w:pPr>
        <w:pStyle w:val="Heading2"/>
      </w:pPr>
      <w:r>
        <w:t>Experiments</w:t>
      </w:r>
    </w:p>
    <w:p>
      <w:r>
        <w:t>Datasets: search results from MEDLINE (PubMed), Embase, Cochrane CENTRAL, CINAHL, PsycINFO, Web of Science, trial registries (ClinicalTrials.gov, WHO ICTRP), conference abstracts, dissertations, and grey literature; include studies of nonclinical human participants receiving a digital intervention with reported dietary or LCA outcomes and ≥1 longitudinal follow-up. Inclusion: RCTs, quasi-experimental, controlled before-after, interrupted time series, and cohort interventions. Baselines: control/no intervention, minimal digital contact, and non-digital standard care. Effect measures: primary health effect = mean difference (MD) in grams/day or servings/day; use Hedges' g (SMD) when instruments differ; primary environmental metrics = kgCO2e/1000 kcal, m2 land/1000 kcal, L water/1000 kcal. Meta-analysis: random-effects model with REML tau2 estimation and Knapp–Hartung CIs; report I2, tau2, and 95% prediction intervals. Missing data: derive SD from SE (SD=SE*sqrt(n)), from 95% CI (SD = ((upper–lower)/(2*1.96))*sqrt(n)), or from t/p when needed; compute change-score SD with SD_change = sqrt(SD_pre^2 + SD_post^2 − 2*r*SD_pre*SD_post) with default r=0.5 and sensitivity r=0.3, r=0.7. LCA mapping: Monte Carlo mapping 10,000 draws to Agribalyse or Poore &amp; Nemecek with default CV=20% (sensitivity CV=10%,40%), feed mapped draws into environmental meta-analyses. Multi-arm trials: primary plan is to combine similar arms using Cochrane pooling for means/SDs or use multivariate/multilevel models to preserve contrasts. Moderator analysis: require k≥10 studies for any moderator and k≥15 to include two covariates; prioritize risk-of-bias, digital modality (app, SMS, web), baseline diet, and key BCT families. Baselines/Comparisons: compare pooled effects vs (a) control/minimal, (b) non-digital interventions. Ablation studies: (1) RCT-only meta-analysis vs pooled RCT+NRSI analysis; (2) deterministic LCA mapping (single mapping) vs probabilistic Monte Carlo mapping; (3) effect of pre–post correlation choices (r=0.3/0.5/0.7) on pooled estimates; (4) inclusion vs exclusion of BCT-coded moderator in meta-regression. Publication bias: funnel plots and Egger tests when k≥10; report selection-model sensitivity checks. Tools: R packages metafor, mvmeta, brms, clubSandwich; all code versioned in repository. Evaluation metrics: pooled MD/SMD with 95% CI, prediction interval, I2, tau2, GRADE certainty, and OIS (based on Delphi-derived MID).</w:t>
      </w:r>
    </w:p>
    <w:p>
      <w:r>
        <w:t xml:space="preserve"> </w:t>
      </w:r>
    </w:p>
    <w:p>
      <w:pPr>
        <w:pStyle w:val="Heading2"/>
      </w:pPr>
      <w:r>
        <w:t>Risk Factors And Limitations</w:t>
      </w:r>
    </w:p>
    <w:p>
      <w:r>
        <w:t>Heterogeneous outcome measures: studies may report incompatible units (servings, grams, kcal) producing harmonization error. LCA incompatibility: differing system boundaries (cradle-to-farmgate vs cradle-to-retail) may prevent pooling; mapping assumptions may introduce bias. Small study counts: low k limits power for meta-regression and moderator detection. Imputation sensitivity: results depend on assumed pre–post correlations and imputed SDs. Measurement error: self-reported diet data are biased and may attenuate true effects. Risk of bias: nonrandomized designs have confounding that may bias pooled estimates. Publication bias: positive-result bias may inflate effectiveness estimates. Equity gaps: few LMIC studies or poor digital-access reporting limit subgroup inference. Computational cost: Monte Carlo mapping (10,000 draws) increases compute and storage needs. Reproducibility risk: complex conversion and mapping pipelines require robust code review; errors in conversion tables or provenance of food-composition sources can propagate to effect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