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dna_damage_sleep_cnidarians</w:t>
      </w:r>
    </w:p>
    <w:p>
      <w:r>
        <w:t xml:space="preserve"> </w:t>
      </w:r>
    </w:p>
    <w:p>
      <w:pPr>
        <w:pStyle w:val="Heading2"/>
      </w:pPr>
      <w:r>
        <w:t>Title</w:t>
      </w:r>
    </w:p>
    <w:p>
      <w:r>
        <w:t>Behavioral, genetic, and imaging interrogation of how neuronal DNA damage modulates sleep drive across divergent cnidarian chronotypes</w:t>
      </w:r>
    </w:p>
    <w:p>
      <w:r>
        <w:t xml:space="preserve"> </w:t>
      </w:r>
    </w:p>
    <w:p>
      <w:pPr>
        <w:pStyle w:val="Heading2"/>
      </w:pPr>
      <w:r>
        <w:t>Short Hypothesis</w:t>
      </w:r>
    </w:p>
    <w:p>
      <w:r>
        <w:t>Acute neuronal DNA damage increases sleep drive in basal cnidarians, and the magnitude and timing of this increase differ by species chronotype.</w:t>
      </w:r>
    </w:p>
    <w:p>
      <w:r>
        <w:t xml:space="preserve"> </w:t>
      </w:r>
    </w:p>
    <w:p>
      <w:pPr>
        <w:pStyle w:val="Heading2"/>
      </w:pPr>
      <w:r>
        <w:t>Related Work</w:t>
      </w:r>
    </w:p>
    <w:p>
      <w:r>
        <w:t>Prior work shows DNA damage can drive sleep-like states and that sleep is regulated by circadian clocks and homeostasis. Behavioral criteria (immobility, elevated arousal threshold, homeostatic rebound) have been used to define sleep in invertebrates. Genetic tools including inducible nucleases and fluorescent DDR (DNA damage response) reporters enable temporal control and live readout of DNA damage in model organisms. Advanced imaging (two-photon, light-sheet) and single-nucleus transcriptomics (snRNA-seq) allow cell-level correlation of neural activity and gene expression. Limitations of current approaches include reliance on cultured cells for some off-target assays (e.g., GUIDE-seq), sparse power and small cohorts for chronotype interaction tests, mosaicism and low editing penetrance in F0 animals, dissociation-induced transcriptional artifacts in single-cell work, and incomplete validation of DDR reporters and safe dosing ranges in nontraditional species.</w:t>
      </w:r>
    </w:p>
    <w:p>
      <w:r>
        <w:t xml:space="preserve"> </w:t>
      </w:r>
    </w:p>
    <w:p>
      <w:pPr>
        <w:pStyle w:val="Heading2"/>
      </w:pPr>
      <w:r>
        <w:t>Abstract</w:t>
      </w:r>
    </w:p>
    <w:p>
      <w:r>
        <w:t>We test whether neuronal DNA damage causally increases sleep drive and whether species chronotype shapes this effect in two basal cnidarians. We will define sleep behaviorally in each species, then apply temporally precise DNA-damage perturbations (inducible Cas9 targeting DDR genes and orthogonal physical/chemical damage) while recording behavior, pan-neuronal calcium activity, and DDR reporter signals. We will profile transcriptional responses with snRNA-seq to link cell types and pathways to sleep modulation. Main contributions are (1) an empirical, behavior‑based sleep definition for two cnidarians; (2) causal tests using inducible DNA-damage approaches; and (3) multimodal datasets linking DNA damage, neural activity, and transcription across chronotypes. Expected outcomes are quantitative dose–response maps of DNA-damage to sleep drive, identification of neuronal populations mediating DDR-induced sleep, and a reproducible pipeline for cross-species chronotype comparisons.</w:t>
      </w:r>
    </w:p>
    <w:p>
      <w:r>
        <w:t xml:space="preserve"> </w:t>
      </w:r>
    </w:p>
    <w:p>
      <w:pPr>
        <w:pStyle w:val="Heading2"/>
      </w:pPr>
      <w:r>
        <w:t>Experiments</w:t>
      </w:r>
    </w:p>
    <w:p>
      <w:r>
        <w:t>Species and samples: use Nematostella vectensis and Cassiopea andromeda; maintain entrainment (12:12 LD) for 10 days then classify individual chronotypes by activity onset/offset during baseline. Behavioral endpoints: sleep bout length (seconds), arousal threshold (stimulus-response probability), total sleep time (minutes/day), and homeostatic rebound (change in sleep after 2 h deprivation). Primary perturbations: (A) inducible Cas9 (heat-shock or drug-inducible promoter) targeting tp53 in neurons; (B) UV-C exposure (254 nm) graded doses; (C) bleomycin exposure graded concentrations. Dose ranges: pilot titration per species to identify nonlethal behaviorally tolerable range (expected pilot groups: 5 dose levels plus sham). Baseline cohorts and controls: sham induction, non-targeting sgRNA, heat-shock only, and melatonin treatment as pharmacological control. Imaging: two-photon microscopy with pan-neuronal calcium indicator (far-red sensor) and tp53-dGFP or H2AX-GFP DDR reporters; record 1–2 Hz for network dynamics and bursts at 5–10 Hz during arousal tests. Sample sizes: behavioral repeated-measures design n=25 animals per chronotype group per species (pre/post induction within animal); imaging n=12 animals per condition with within-animal baseline and post-induction sessions; snRNA-seq 4 biological replicates per condition, 5,000–10,000 nuclei per replicate. Genomics: off-target detection using adapted CIRCLE-seq and embryo-based GUIDE-seq (electroporation), validate top sites by deep amplicon sequencing at 5,000–10,000x. Evaluation metrics: effect size on sleep bout length (Cohen's d), significance of chronotype×treatment interaction (mixed-model interaction p-value), change in arousal threshold (Δ probability), change in mean neural firing/event rate (Hz), DDR foci per neuron (counts), differentially expressed genes (FDR &lt; 0.05) and differential cell-type abundance. Baselines and ablations: compare inducible Cas9 vs UV vs bleomycin; ablation: tp53 knockout (genetic loss) and melatonin rescue (pharmacological). Ablation/contrast study: remove DDR reporter or tp53 function to test dependence of sleep change on p53 signaling. Analysis setup: mixed-effects models with animal as random effect, fixed effects species, chronotype, treatment, time-of-day; multiple-testing control using hierarchical testing (primary endpoints) then FDR (secondary endpoints). One ablation comparison: snRNA-seq from tp53-KO vs wild-type after matched damage to test p53-dependent transcriptional responses.</w:t>
      </w:r>
    </w:p>
    <w:p>
      <w:r>
        <w:t xml:space="preserve"> </w:t>
      </w:r>
    </w:p>
    <w:p>
      <w:pPr>
        <w:pStyle w:val="Heading2"/>
      </w:pPr>
      <w:r>
        <w:t>Risk Factors And Limitations</w:t>
      </w:r>
    </w:p>
    <w:p>
      <w:r>
        <w:t>Low editing efficiency and high mosaicism in F0 animals may reduce power for causal inference. GUIDE-seq adaptation may fail due to lack of cultured cells; embryo electroporation yield and read depth may be lower than in cell lines. DDR reporter specificity or dynamic range may be insufficient in these species. UV or chemical dosing may cause sickness behaviors or mortality; behavioral endpoints can be confounded by general illness rather than sleep. snRNA-seq may still capture stress signatures despite nuclei protocols; cross-species orthology mapping can limit direct gene-level comparisons. Imaging phototoxicity and bleaching can alter behavior or DDR readouts. Seasonal spawning or low clutch yields (for Cassiopea) can limit sample throughput. Off-target detection and deep sequencing require substantial sequencing resources and can be costly. Results may not generalize beyond the two cnidarian species to bilaterian animals.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