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erythrina_moist_gel</w:t>
      </w:r>
    </w:p>
    <w:p>
      <w:r>
        <w:t xml:space="preserve"> </w:t>
      </w:r>
    </w:p>
    <w:p>
      <w:pPr>
        <w:pStyle w:val="Heading2"/>
      </w:pPr>
      <w:r>
        <w:t>Title</w:t>
      </w:r>
    </w:p>
    <w:p>
      <w:r>
        <w:t>Formulation of an ethanol-extract moisturizer gel from Erythrina crista-galli flowers and evaluation of its antioxidant, antibacterial, and anti-inflammatory activities using integrated in vitro, in vivo, in silico, and analytical validation methods</w:t>
      </w:r>
    </w:p>
    <w:p>
      <w:r>
        <w:t xml:space="preserve"> </w:t>
      </w:r>
    </w:p>
    <w:p>
      <w:pPr>
        <w:pStyle w:val="Heading2"/>
      </w:pPr>
      <w:r>
        <w:t>Short Hypothesis</w:t>
      </w:r>
    </w:p>
    <w:p>
      <w:r>
        <w:t>A standardized ethanol extract of Erythrina crista-galli flowers, formulated at ≤5% w/w into a topical moisturizer gel, will produce measurable antioxidant, antibacterial, and anti-inflammatory effects (≥30% reduction in target readouts) compared with vehicle controls, due to enrichment of specific flavonoid markers.</w:t>
      </w:r>
    </w:p>
    <w:p>
      <w:r>
        <w:t xml:space="preserve"> </w:t>
      </w:r>
    </w:p>
    <w:p>
      <w:pPr>
        <w:pStyle w:val="Heading2"/>
      </w:pPr>
      <w:r>
        <w:t>Related Work</w:t>
      </w:r>
    </w:p>
    <w:p>
      <w:r>
        <w:t>Previous work has shown that flavonoid-rich plant extracts can exhibit antioxidant, antibacterial, and anti-inflammatory activities, and some topical products have been formulated from botanical extracts. Existing approaches often rely on single assays (e.g., DPPH or disc diffusion) or unstandardized extracts without robust marker quantitation. Limitations in prior studies include: lack of marker standardization and qNMR-based purity assignment; incomplete analytical validation (missing LOD/LOQ, matrix effect, internal standard recovery); use of disc diffusion alone without MIC/MBC, biofilm, or time-kill data; inconsistent solvent‑residue control after defatting steps; weak or absent Franz cell release and permeation validation; limited in vivo confirmation; and poor documentation of excipient interference. These gaps reduce reproducibility and make it hard to link chemical standardization to biological effects.</w:t>
      </w:r>
    </w:p>
    <w:p>
      <w:r>
        <w:t xml:space="preserve"> </w:t>
      </w:r>
    </w:p>
    <w:p>
      <w:pPr>
        <w:pStyle w:val="Heading2"/>
      </w:pPr>
      <w:r>
        <w:t>Abstract</w:t>
      </w:r>
    </w:p>
    <w:p>
      <w:r>
        <w:t>Topical botanical cosmetics require chemical standardization and rigorous functional proof to support safety and effect claims. This study formulates an ethanol extract of Erythrina crista-galli flowers into moisturizing gels and evaluates antioxidant, antibacterial, and anti-inflammatory activities with integrated analytical validation, in vitro and in vivo testing, and in silico analysis. The project applies a designed extraction screen to prioritize marker recovery (tentative markers: quercetin aglycone, genistein/daidzein family, quercetin glycoside), confirms identity and purity by LC-MS/MS and qNMR, and validates quantitative endpoints (LOD/LOQ, accuracy, precision, matrix effect). Biological evaluation uses chemical antioxidant assays (DPPH/FRAP), cell-based ROS and cytokine assays, antibacterial MIC/MBC and biofilm assays, and a carrageenan-induced paw edema model for inflammation. Franz cell release and physical/stability testing assess formulation performance. The main contribution is a reproducible, SOP-ready pipeline that directly links validated chemical markers to biological activity and formulation performance. Expected outcomes are a gel prototype with documented marker content, demonstrated bioactivities at topical-relevant loadings, and clear go/no-go criteria for further development.</w:t>
      </w:r>
    </w:p>
    <w:p>
      <w:r>
        <w:t xml:space="preserve"> </w:t>
      </w:r>
    </w:p>
    <w:p>
      <w:pPr>
        <w:pStyle w:val="Heading2"/>
      </w:pPr>
      <w:r>
        <w:t>Experiments</w:t>
      </w:r>
    </w:p>
    <w:p>
      <w:r>
        <w:t>Datasets and material generation: Produce 9–18 extract conditions by DOE with factors: ethanol% (60/80/95), S:L ratio (1:5,1:10,1:20), temp (25/40/60°C), time (30/60/120 min), defatting yes/no, and method (maceration, ultrasound, reflux). Prepare three pilot gel batches per selected extract using carbomer and xanthan/HEC bases at target extract loads 1%, 2.5%, 5% w/w. Baselines and controls: vehicle gel (no extract), preservative-only gel, antioxidant-only gel (0.05% α-tocopherol), positive antioxidant control (Trolox), antibacterial positive controls (mupirocin or vancomycin for Gram-positives; gentamicin for Gram-negatives), anti-inflammatory controls (indomethacin, dexamethasone). Analytical validation: LC-MS/MS method with C18 UPLC, report LOD/LOQ, %bias (accuracy) at low/med/high levels, intra-day and inter-day precision, matrix effect %, and internal standard recovery; qNMR for at least one marker (report purity ± uncertainty). Chemical assays: DPPH and FRAP in triplicate; report IC50 (µg/mL). Antibacterial assays: disc diffusion (zone mm), broth microdilution MIC and MBC (µg/mL) against S. aureus (including MRSA), S. epidermidis, C. acnes, P. aeruginosa; biofilm formation and eradication assays (crystal violet and XTT/resazurin); time-kill curves (0,2,4,8,24 h); all in biological triplicates and two independent repeats. Cell assays: cytotoxicity (MTT/resazurin) on RAW264.7, THP-1, HaCaT, HDF to define non-cytotoxic range (≤20% viability loss); LPS-stimulated NO (Griess) and cytokines (TNF-α, IL-6, IL-1β by ELISA) at 1,10,50,100 µg/mL and gel extracts; intracellular ROS (DCFDA) after H2O2 challenge; n=3 independent experiments with technical triplicates; primary pass criterion ≥30% reduction vs vehicle (p&lt;0.05). In vivo: carrageenan-induced rat/mouse paw edema, n=6 animals per group, measure paw volume at 0,1,2,4,24 h; compare extract-gel vs vehicle and indomethacin control; endpoint: % edema inhibition. In silico: docking of prioritized markers to targets (COX-2, iNOS, bacterial enzymes) report binding energy (kcal/mol) and key interactions. Franz diffusion: Strat-M or PVDF membrane, area 1.77 cm2, receptor PBS pH 7.4 + 0.5% Tween-80 (validate sink), 32°C, sampling 0.5,1,2,4,8,24 h, n=6; report cumulative release µg/cm2 and mass balance ≥85%. Stability: accelerated (40°C/75% RH) 3 months and predicted 12-month data; report marker % remaining. Comparison/ablation studies: (A) extraction variables (ethanol% and defatting) vs marker yield and bioactivity; (B) gel base (carbomer vs xanthan/HEC) vs extraction recovery and release; (C) with vs without preservative for assay interference. Statistical analysis: screening n=3, confirmatory n=4–6 for power ≥80% to detect 30% effect size; use ANOVA + Dunnett or nonparametric equivalent; adjust multiplicity with Holm-Bonferroni.</w:t>
      </w:r>
    </w:p>
    <w:p>
      <w:r>
        <w:t xml:space="preserve"> </w:t>
      </w:r>
    </w:p>
    <w:p>
      <w:pPr>
        <w:pStyle w:val="Heading2"/>
      </w:pPr>
      <w:r>
        <w:t>Risk Factors And Limitations</w:t>
      </w:r>
    </w:p>
    <w:p>
      <w:r>
        <w:t>Technical assay interference: gel excipients or preservatives may interfere with chemical and cell assays causing false positives or negatives. Variability in plant material: batch-to-batch phytochemical content can differ, limiting reproducibility. Solvent residue risk: hexane or other defatting solvents require validated residual analysis and may cause regulatory issues. Translation limits: strong in vitro activity may not predict in vivo efficacy or human skin response. Analytical limits: inability to source authentic standards or low marker abundance may reduce quantitation accuracy. Animal model constraints: carrageenan edema is an acute inflammation model and may not represent chronic skin inflammation. Scale and compute: semi-preparative isolation and qNMR require specialized equipment and time; capacity limits may slow progress. Ethical and regulatory: human patch testing requires prior in vitro safety, ethics approval, and timelines that can delay clinical steps. Generalization: results from one botanical source and formulation may not generalize to other plant lots or product formats.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