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echo_vision_fm</w:t>
      </w:r>
    </w:p>
    <w:p>
      <w:r>
        <w:t xml:space="preserve"> </w:t>
      </w:r>
    </w:p>
    <w:p>
      <w:pPr>
        <w:pStyle w:val="Heading2"/>
      </w:pPr>
      <w:r>
        <w:t>Title</w:t>
      </w:r>
    </w:p>
    <w:p>
      <w:r>
        <w:t>High-ratio masked video pretraining with spatial-temporal fusion for echocardiogram video foundation models</w:t>
      </w:r>
    </w:p>
    <w:p>
      <w:r>
        <w:t xml:space="preserve"> </w:t>
      </w:r>
    </w:p>
    <w:p>
      <w:pPr>
        <w:pStyle w:val="Heading2"/>
      </w:pPr>
      <w:r>
        <w:t>Short Hypothesis</w:t>
      </w:r>
    </w:p>
    <w:p>
      <w:r>
        <w:t>Pretraining a video encoder on large-scale unlabeled echocardiogram videos using high-ratio masked auto-encoding and then fine-tuning with a spatial-temporal fusion network will reduce LVEF mean absolute error by at least 1.5 percentage points and increase valve-severity AUC by at least 0.03 relative to an identical architecture trained from random initialization.</w:t>
      </w:r>
    </w:p>
    <w:p>
      <w:r>
        <w:t xml:space="preserve"> </w:t>
      </w:r>
    </w:p>
    <w:p>
      <w:pPr>
        <w:pStyle w:val="Heading2"/>
      </w:pPr>
      <w:r>
        <w:t>Related Work</w:t>
      </w:r>
    </w:p>
    <w:p>
      <w:r>
        <w:t>Existing approaches for echocardiogram analysis mainly use supervised learning on labeled still frames or short clips, contrastive self-supervised learning to capture temporal consistency, and masked image modeling adapted from natural images. Prior video methods either focus on motion-only features (temporal contrastive) or on spatial reconstruction (masked image modeling), but few combine both at echocardiogram scale. Temporal transformer backbones and parameter-efficient adapters (e.g., LoRA) have improved transfer and fine-tuning, yet prior systems often use small labeled corpora, ignore long-range cardiac-cycle structure, lack principled uncertainty intervals, and do not provide clear privacy or federated training plans. Limitations include sensitivity to vendor and site shifts, label noise from reader variability, poor calibration across subgroups, and impractical compute for video-scale differential privacy. No prior work offers a unified high-ratio masked video pretraining plus a dedicated spatial-temporal fusion network for echocardiogram downstream tasks.</w:t>
      </w:r>
    </w:p>
    <w:p>
      <w:r>
        <w:t xml:space="preserve"> </w:t>
      </w:r>
    </w:p>
    <w:p>
      <w:pPr>
        <w:pStyle w:val="Heading2"/>
      </w:pPr>
      <w:r>
        <w:t>Abstract</w:t>
      </w:r>
    </w:p>
    <w:p>
      <w:r>
        <w:t>We present a framework to build an echocardiogram video foundation model by combining high-ratio masked video pretraining with a spatial-temporal fusion network. The problem is to learn robust, transferable video representations from large unlabeled echo corpora so downstream tasks—left ventricular ejection fraction (LVEF), chamber volumes, global longitudinal strain (GLS), and valve severity—require fewer labels and generalize across sites. Our approach pretrains a video encoder to reconstruct heavily masked space-time patches (high-ratio masked auto-encoding) so the model learns fine anatomical detail and motion patterns, then refines these features with a spatial-temporal fusion network (STF-Net) that explicitly integrates joint and disjoint spatial and temporal information. Main contributions are (1) a scalable pretraining objective tailored to echo video corruptions, (2) STF-Net for robust fusion of anatomy and motion, and (3) an evaluation protocol including calibrated uncertainty and federated/Differential-Privacy pilots. Expected outcome: improved accuracy on clinical endpoints, tighter uncertainty intervals, and more stable cross-site performance compared to supervised baselines.</w:t>
      </w:r>
    </w:p>
    <w:p>
      <w:r>
        <w:t xml:space="preserve"> </w:t>
      </w:r>
    </w:p>
    <w:p>
      <w:pPr>
        <w:pStyle w:val="Heading2"/>
      </w:pPr>
      <w:r>
        <w:t>Experiments</w:t>
      </w:r>
    </w:p>
    <w:p>
      <w:r>
        <w:t>Datasets: Pretrain on large unlabeled echo corpus (≥50k clips) drawn from MIMIC-IV-echo plus partner sites. Fine-tune and evaluate using labeled splits per endpoint: LVEF train 5,000 / internal test 1,000 / external test 2,000; LV volumes train 4,000 / int test 1,000 / ext test 1,000; GLS train 3,000 / int test 1,000 / ext test 1,000; valve severity per valve balanced ~3,000 studies with ≥500 severe cases. External-site roster: five sites with counts 2000,1000,1500,1000,500. Baselines: (A) supervised training from random init using same architecture and fine-tune recipe; (B) temporal-contrastive self-supervision; (C) image-based masked modeling (frame-wise) pretrain; (D) pretrain + fine-tune without STF-Net. Model and training setup: pretrain clip length 64 frames, AdamW lr=1e-4, batch=256 (distributed), epochs=50, augmentations: speckle noise, frame-rate jitter, Doppler masking; fine-tune batch=32, lr=1e-5, warmup=2 epochs, epochs=30, LoRA adapters for parameter-efficient tuning. Ablations: masked ratio (low vs high), clip lengths {32,64,128}, attention variants (dense, local-window, deformable), STF-Net ablation (joint-only vs disjoint-only vs fused). Uncertainty and calibration: heteroscedastic regression heads, split-conformal prediction for intervals, classifier temperature scaling + conformalized sets. Federated &amp; DP pilot: FedAvg with clients=20, rounds=200, local_epochs=1; DP-SGD pilots with noise multipliers mapped to target epsilons {1,3,10} via RDP accountant. Evaluation metrics: LVEF MAE and ICC, LVEDV/LVESV MAE in mL, GLS MAE, AUC for valve severity, calibration ECE, conformal coverage (target 90-95%), external site-specific performance, and compute cost (GPU-hours). Success criteria: LVEF MAE ≤3% and ICC ≥0.85, severe-valve AUC ≥0.90, conformal coverage within target. Statistical tests: bootstrap CIs, DeLong for AUC, mixed-effects models for site variability. Reproducibility: publish config YAMLs, seeds, and provenance-tagged datasets used for each run.</w:t>
      </w:r>
    </w:p>
    <w:p>
      <w:r>
        <w:t xml:space="preserve"> </w:t>
      </w:r>
    </w:p>
    <w:p>
      <w:pPr>
        <w:pStyle w:val="Heading2"/>
      </w:pPr>
      <w:r>
        <w:t>Risk Factors And Limitations</w:t>
      </w:r>
    </w:p>
    <w:p>
      <w:r>
        <w:t>Technical failure modes: masked video reconstruction may learn low-level textures (speckle) rather than clinically relevant anatomy or motion; STF-Net fusion may overfit to pretraining artifacts. Data issues: reader label noise and inconsistent measurement tools may bias downstream evaluation; small subgroup samples limit conformal calibration guarantees. Domain shift: vendor, view, and population heterogeneity may reduce external performance and calibration. Privacy and scaling: video-scale DP to reach ε ≤3 can cause substantial utility loss and large compute cost; federated training adds communication and stability challenges. Compute and cost limits: full pretraining at video scale requires ~100k GPU-hours and tens of terabytes of storage which may be unavailable. Generalization limits: model trained on 2D echo loops may not transfer to 3D echo or pediatric populations without additional data. Evaluation limits: prospective reader and clinical-utility trials required for regulatory claims and are time consuming and costly.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