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boardgame_social_skills_adhd_thailand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Quasi-experimental evaluation of a board game intervention to improve social skills in at-risk upper-elementary children with ADHD in Thailand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12-week, facilitator-led board game program will produce greater increases in teacher-rated SSIS Total Social Skills scores at immediate post-treatment than standard school activities among at-risk upper-elementary students diagnosed with ADHD.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improving social skills in children with ADHD includes behavioral classroom interventions, group social-skills training, play-based and game-like activities, and pharmacological treatment. Group social-skills programs show moderate effects but often rely on therapist-led lessons rather than naturalistic play and may not transfer to classroom behavior. Play-based approaches and cooperative games have theoretical promise for practicing turn-taking, emotion recognition, and self-control, but empirical studies are small, single-site, unblinded, or lack standardized, blinded outcome measurement. School-based trials frequently omit cluster-level analysis or fail to report intraclass correlation (ICC), reducing reliability for scaling. Cross-cultural and language adaptation of social-skills measures are often incomplete, limiting interpretation in non-Western settings. There is a gap in rigorously tested, culturally adapted board-game interventions with blinded observational outcomes and prespecified cluster-aware analyses for children with ADHD.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Children with ADHD often show social-skill difficulties that hurt classroom relationships and learning. This study tests whether a culturally adapted board-game program can improve social skills in at-risk upper-elementary children with ADHD in Thailand. Using a quasi-experimental design with matched control and intervention classes, trained facilitators deliver twice-weekly 40–60 minute game sessions for 12 weeks. Primary measurement is teacher-rated SSIS Total Social Skills at post-treatment, supplemented by a blinded 5-minute observational index of in-play social behavior and parent/teacher SNAP-IV scores and executive-function (EF) tasks. The main contribution is a pragmatic, classroom-delivered intervention that pairs structured cooperative game play with standardized fidelity metrics and cluster-aware analyses to estimate real-world effect sizes. Expected outcomes include measurable gains on teacher-rated social skills and observable in-game social behaviors, plus pilot estimates of ICC, feasibility, and costs to inform a definitive cluster trial and potential Ministry of Education scale-up.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Population and sampling: upper-elementary (grades 4–6) children in Thai public schools screened positive for ADHD symptoms by parent and teacher SNAP-IV (mean item score ≥1.5 on Inattention or Hyperactivity/Impulsivity) plus teacher-rated social impairment (SSIS Social Skills t-score ≤45). Exclude IQ&lt;70, moderate/severe ASD, active psychosis, or imminent suicidality. Pilot: 6–8 classes (clusters) with 10–15 children per class (total ≈60–120). Definitive scenarios: show power curves using effect sizes d={0.30,0.40,0.50} and ICCs={0.02,0.05,0.10}. Intervention: 12 weeks, twice-weekly 40–60 min facilitator-led cooperative board-game sessions. Control: standard school activities or waitlist. Baseline and follow-up times: baseline, immediate post-treatment (~week 12), and 6-month follow-up. Primary outcome: teacher-rated SSIS Total Social Skills at post-treatment. Key secondary: blinded 5-minute observational index scored by coders blind to arm. Other outcomes: parent SSIS, SNAP-IV, peer sociometrics (positive/’play with’ nominations), EF tasks (Go/No-Go, Flanker, Digit Span). Evaluation metrics: mean difference in SSIS (adjusted), standardized effect size (Cohen d), ICC estimate, proportion achieving MCID (to be defined by anchor), observational index mean difference, teacher/parent SNAP-IV change, and fidelity adherence (%). Statistical analysis: intention-to-treat (ITT) using linear mixed-effects models with random intercepts for class and child, fixed effects for baseline score and stratifiers (urban/rural, baseline class mean), and treatment×time where applicable. Missing data: multilevel multiple imputation (preserves clustering and repeated measures). Sensitivity analyses: per-protocol (exclude children below fidelity attendance thresholds), contamination-adjusted CACE (complier average causal effect) using randomization as instrument, and MNAR tipping-point analyses. Baselines and comparators: active control (usual activities) and an ablation arm (optional) comparing full manualized facilitation versus minimal facilitation (scripts removed) to isolate facilitation effect. Reliability: compute inter-rater ICCs for observational coding and fidelity (target ICC≥0.80). Sample-size ablation: compare power and cluster counts across effect-size/ICC grid and report required clusters per arm for 80% and 90% power. Pre-registration: all primary analyses and estimands, MCID anchor, and analysis code to be registered before unblinding.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Contamination: children or teachers in control classes may copy games or skills, biasing effect estimates. Measurement bias: teacher ratings may be influenced by knowledge of participation; blinded observation reduces but does not eliminate this. ICC uncertainty: higher-than-expected ICC inflates required sample sizes. Psychometrics: Thai translations of SSIS/SNAP-IV may show poor factor fit in small pilot samples, limiting interpretability. Fidelity drift: facilitators may deviate from manuals over time, reducing effect size. Medication and comorbidity variability: changes in ADHD medication or diverse comorbidities may confound outcomes. Safety and AE capacity: schools may lack clinical referral resources for emergent mental-health needs. Generalizability: findings may not transfer to non-Thai or private-school settings. Resource constraints: rural or low-resource schools may face logistical barriers (space, staffing) that limit scalable delivery. Computational limits: multilevel imputation and complex mixed models require statistical expertise and compute resources for reproducible analysis.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