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wic_enrollment_tech_pilot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Cluster-randomized evaluation of a technology-enabled remote certification workflow to improve WIC enrollment efficiency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Deploying a technology-enabled workflow (prescreen auto-fill, OCR document triage, and tele-certification with validated remote anthropometrics) causes at least a 20% reduction in median time-to-certification compared to the standard in-person workflow.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remote certification and telehealth tools, OCR-assisted document intake, and privacy-preserving analytics applied separately to public health benefit programs. Prior OCR systems often optimize overall accuracy but show degraded performance on low-quality images, nonstandard document formats, and underrepresented languages. Remote anthropometric methods (phone-assisted measures, caregiver self-measurement) show mixed validity; studies often lack large paired-measurement samples and formal equivalence testing. Privacy methods (differential privacy and k-anonymity) provide measurable privacy guarantees but can substantially reduce utility for small subgroups; current work rarely quantifies tradeoffs for program reporting. Evaluations to date are limited by observational designs, small usability samples, incomplete subgroup analyses, and sparse per-jurisdiction legal operationalization. Unresolved issues include OCR subgroup bias, lack of rigorously validated remote measurement protocols, unclear impacts of privacy mechanisms on small-area estimates, and weak reproducibility across states and device conditions.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WIC certification processes are time-consuming and unevenly accessible. This project evaluates a bundled technology-enabled workflow combining prescreen auto-fill, OCR-based document triage, and tele-certification supported by validated remote anthropometric measures. We will run a cluster-randomized trial at the clinic level to estimate causal effects on enrollment efficiency and equity. Primary contribution: a reproducible, mixed-methods evaluation that measures operational outcomes (time-to-certification, no-show rate), measurement validity (remote vs clinic anthropometrics with equivalence testing), OCR accuracy across subgroups, and the privacy-utility tradeoffs of differential privacy and k-anonymity for program reporting. Expected outcomes: quantified effect sizes for policy-relevant endpoints, validated technical thresholds (OCR operating points and anthropometry equivalence margins), and documented impacts of privacy settings on subgroup estimates. Results will inform defensible go/no-go criteria for scaling technology-assisted certification while providing public artifacts (analytic code, synthetic test data, evaluation protocol)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historical clinic intake records with timestamps and outcomes for N ≈ 2,000 participants; (2) curated OCR corpus of ≥5,000 uploaded documents spanning device types, languages, lighting, and compression; (3) synthetic/augmented image set to stress low-quality cases; (4) paired anthropometry dataset with ≥200 paired clinic vs remote measurements per age stratum (infant, toddler, child) totaling ≥600 pairs; (5) consent-comprehension sample of n=200. Design: cluster-randomized controlled trial (unit = clinic; if clinic volumes are small use clinic-week) with stratification by urban/rural, dominant language, and volume. Target: 40 clinics, mean 50 participants per clinic, total N≈2,000 (adjust per power tables across ICC 0.01–0.05). Baselines: (A) standard in-person certification; (B) partial intervention A: prescreen + staff workflow (no tele-cert); (C) partial intervention B: prescreen + OCR triage (no tele-cert). Metrics: primary — median time-to-certification (days) and no-show rate (%); secondary — 6- and 12-month recertification rates, staff time per case (minutes), participant satisfaction score (Likert), document OCR sensitivity/specificity on critical fields, anthropometry equivalence (weight ±0.5 kg, length/height ±1.0 cm) tested with TOST (two one-sided tests, alpha=0.05), consent comprehension rate (≥80% threshold). Analysis: mixed-effects regression for primary outcomes with clinic random intercepts to account for ICC; report % reduction and 95% CI; hierarchical testing with time-to-certification first, no-show second; FDR control (Benjamini-Hochberg) for exploratory subgroup analyses. OCR evaluation: produce ROC curves by subgroup/device and set operating points (auto-accept ≥0.95 confidence, staff-review 0.60–0.95). DP experiments: run synthetic-data releases with epsilon ∈ {0.1,0.5,1.0} and report bias, RMSE, and coverage for subgroup counts; produce privacy-utility curves. Ablations: compare full pipeline vs (i) remove OCR (manual intake), (ii) remove tele-certification (in-person required), (iii) varying OCR thresholds, (iv) DP settings. Validation: anthropometry TOST equivalence, Bland-Altman limits-of-agreement, and stratified device/rater analyses. Reproducibility: publish analysis code, seed lists for synthetic data, and pre-specified analysis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OCR accuracy may drop on low-quality uploads, nonstandard documents, or underrepresented languages, causing higher manual-review loads. Remote anthropometry bias: caregiver or device measurement errors may produce systematic bias versus clinic measures. Privacy tradeoffs: differential privacy or aggressive k-anonymity (k≥10) can suppress or distort small subgroup estimates, reducing policy utility. Legal and operational heterogeneity: state waiver and data-sharing rules differ and may block full workflow in some jurisdictions. Recruitment and retention: insufficient enrollment or high attrition in key subgroups can underpower subgroup analyses. Scalability and compute limits: large OCR and DP experiments may require substantial compute and vendor capacity. Security risk: data breaches could expose sensitive information if vendor controls are inadequate. Generalization limits: results from participating clinics may not generalize to all states, tribal agencies, or extremely low-bandwidth contexts. Evaluation design limits: cluster randomization with mixed clinic and clinic-week units complicates analysis and may introduce imbalance if cluster counts are small.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