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plyo8wk_knee_arthro_case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Application of an eight-week progressive plyometric training protocol to restore knee muscle strength, power, and vertical-jump performance after arthroscopic bone repair: a case report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 a professional volleyball athlete four months after arthroscopic bone repair, an eight-week progressive plyometric training program initiated after imaging-confirmed healing will increase involved-limb isokinetic knee extensor peak torque and countermovement jump height beyond the measurement error (MDC95) and raise limb symmetry index (LSI) to ≥90%.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Rehabilitation after knee arthroscopy and focal bone repair generally emphasizes staged loading, progressive strength training, and neuromuscular control exercises. Plyometric (jump) training is established in return-to-sport programs after ligament reconstructions but is less well studied after bone repair; existing studies are small, heterogeneous, or focus on ligament/cartilage procedures rather than post-arthroscopic bone fragment repair. Prior work often lacks: (1) procedure-specific imaging gates tied to progression, (2) explicit biomechanical safety thresholds (e.g., valgus angle, loading-rate) used as decision criteria, (3) standardized IMU validation against force-plate gold standards, (4) repeated-baseline MDC95 estimation to separate true change from measurement noise, and (5) detailed, reproducible per-exercise dosing matrices for phased plyometric progression. These gaps limit reproducibility and make it hard to judge safety and dose–response for plyometrics after bone repair.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Problem: Optimal timing, dose, and safety criteria for plyometric (jump) training after arthroscopic bone repair are unclear. Approach: We present a structured eight-week progressive plyometric protocol started after imaging-confirmed healing in a single professional volleyball athlete four months post-surgery. Measures include isokinetic knee extensor torque, countermovement jump (CMJ) on force plates, single-leg hop, motion-capture kinematics, IMU-based contact counts, and patient-reported function. Main contribution: A reproducible protocol that pairs imaging and clinical gates with objective biomechanical thresholds (e.g., limb symmetry indices, valgus and loading metrics), a repeated-baseline plan to compute MDC95 (minimum detectable change), and pre-specified session templates with contact caps. Expected outcome: Demonstration of safe, measurable gains in knee strength, power, and jump performance that exceed measurement error and reach functional symmetry thresholds, producing a transparent case-study blueprint for clinicians and researchers to evaluate plyometrics after bone repair.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Design: single-case repeated-baseline (N-of-1) with measurements at baseline (two sessions for MDC), week 4 (mid), week 8 (post), and follow-ups at 3, 6, 12 months. Participant data: the index professional volleyball athlete. External comparison datasets: (A) historical cohort of 3 matched professional volleyball players after similar surgery who received standard rehab without structured plyometrics; (B) normative dataset of 10 healthy professional volleyball players for absolute benchmarks. Primary outcomes: isokinetic knee extensor peak torque normalized to body mass (Nm/kg) measured at 60°/s and 180°/s (isokinetic test = machine measures concentric force at fixed speeds), CMJ height (cm) from force plate (CMJ = countermovement jump), and limb symmetry index (LSI = involved / contralateral *100). Secondary outcomes: single-leg hop distance (cm), peak frontal-plane knee valgus angle (degrees), peak vertical ground reaction force (vGRF, N), vertical loading rate (N/s), IKDC score (patient-reported), pain VAS. Acquisition specs: motion capture 200–240 Hz, force plates 1000 Hz, IMU on shoe 100–200 Hz. Trial rules: collect 5 valid trials per task, average best 3; obtain ≥10 baseline trials across two sessions (min 5/session) for SEM and MDC95 calculation (MDC95 = 1.96*SEM*√2). Baseline reliability: compute ICC and SEM for each metric. Analyses: compute absolute and percent change, compare to MDC95 to declare meaningful change, visualize time series with MDC bands and LSI targets annotated (85% and 90%). Statistical comparisons: descriptive contrasts vs historical cohort and normative group (no inferential tests beyond nonparametric bootstrap CIs). Ablation/comparison study: sensitivity analysis simulating (A) reduced-contact program (10–20% lower weekly contacts) and (B) omission of weeks 6–8 high-intensity phase; estimate projected outcomes via within-subject phase-effect modeling and report differences versus actual intervention. Missing data: primary conservative approach using baseline observation carried forward for safety metrics; secondary analyses use bootstrapped SEM and multiple imputation for exploratory inference. Reporting: include raw processed files (C3D/CSV), MDC computations, and IMU validation summary comparing IMU counts to force-plate contacts (report ICC, sensitivity, specificity, SEM).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Single-case generalizability: results may not apply to other athletes, ages, or fixation types. Contralateral deconditioning: LSI can be misleading if the non-involved limb is weak. Imaging misclassification: radiograph/CT interpretation may imperfectly reflect biological strength of repair. Measurement error: marker placement, motion-capture noise, force-plate artifacts, and IMU algorithm errors can bias kinematic/contacts estimates. Small sample prevents inferential statistics; analysis focuses on magnitude and MDC95. Adherence and supervision: missed sessions or low supervision reduce internal validity. Safety risk: plyometrics carry re-injury risk if healing or technique is inadequate. Confounders: concurrent therapies, changes in footwear/surface, sleep, nutrition, and training load may affect outcomes. Technical limits: IMU sampling/filter settings and synchronization errors may reduce contact-count accuracy. Resource limits: high-fidelity motion capture and isokinetic testing may not be available in all settings, limiting replication.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