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wbarg_decision_tree_comparison</w:t>
      </w:r>
    </w:p>
    <w:p>
      <w:r>
        <w:t xml:space="preserve"> </w:t>
      </w:r>
    </w:p>
    <w:p>
      <w:pPr>
        <w:pStyle w:val="Heading2"/>
      </w:pPr>
      <w:r>
        <w:t>Title</w:t>
      </w:r>
    </w:p>
    <w:p>
      <w:r>
        <w:t>Evaluating argumentation graphs as global explainable surrogate models for dense neural networks and comparing them with decision-tree surrogates</w:t>
      </w:r>
    </w:p>
    <w:p>
      <w:r>
        <w:t xml:space="preserve"> </w:t>
      </w:r>
    </w:p>
    <w:p>
      <w:pPr>
        <w:pStyle w:val="Heading2"/>
      </w:pPr>
      <w:r>
        <w:t>Short Hypothesis</w:t>
      </w:r>
    </w:p>
    <w:p>
      <w:r>
        <w:t>Aggregating extracted arguments and their conflicts into a directed argumentation graph and computing node strengths as fixed points produces class-level surrogate explanations whose predictive fidelity and explanation stability are at least as high as pruned decision-tree surrogates of comparable complexity.</w:t>
      </w:r>
    </w:p>
    <w:p>
      <w:r>
        <w:t xml:space="preserve"> </w:t>
      </w:r>
    </w:p>
    <w:p>
      <w:pPr>
        <w:pStyle w:val="Heading2"/>
      </w:pPr>
      <w:r>
        <w:t>Related Work</w:t>
      </w:r>
    </w:p>
    <w:p>
      <w:r>
        <w:t>Previous approaches build rule-based or tree-based surrogates of neural networks to provide global explanations. Decision-tree methods (CART, pruned trees, surrogate trees trained on logits, and constrained boosted trees) produce compact, human-readable rules but can lose fidelity for complex learned interactions and become unstable under input perturbation. Attribution-based approaches (Integrated Gradients, LRP, SHAP) produce local feature contributions but do not directly yield global rule graphs and can be circular when used both to extract and validate explanations. Prior attempts to create graph-style explanations exist but often lack formal fixed-point semantics, robust aggregation of attributions into edges, spectral guarantees for uniqueness, and causal intervention validation. Empirical comparisons typically omit rigorous uncertainty quantification, adversarial robustness, and human-subject benchmarks. Open issues include (1) mapping attributions to atomic argument contributions that handle interactions, (2) certifying unique fixed points for graph strength equations, (3) controlling multiplicity under dependent edge tests, and (4) measuring causal fidelity instead of only correlational alignment.</w:t>
      </w:r>
    </w:p>
    <w:p>
      <w:r>
        <w:t xml:space="preserve"> </w:t>
      </w:r>
    </w:p>
    <w:p>
      <w:pPr>
        <w:pStyle w:val="Heading2"/>
      </w:pPr>
      <w:r>
        <w:t>Abstract</w:t>
      </w:r>
    </w:p>
    <w:p>
      <w:r>
        <w:t>We study argumentation graphs as global, rule-based surrogate models for dense neural networks and compare them with decision-tree surrogates. Our method extracts atomic argument units (rules) and their pairwise conflicts from trained dense models, aggregates attribution scores into directed weighted edges, and interprets node strengths as solutions to a fixed-point equation under a monotone activation transform. We provide constructive spectral conditions that guarantee a unique fixed point, empirical estimators for resolvent bounds, and a practical pipeline for prototype clustering, edge aggregation, and causal validation via targeted interventions. The main contribution is a reproducible evaluation that measures predictive fidelity, explanation fidelity (causal and attribution agreement), stability under adversarial and distributional shifts, complexity (rule/token counts), and human interpretability. We benchmark argumentation-graph surrogates against pruned decision trees and constrained boosted trees across synthetic causal datasets, standard tabular problems, and image occlusion tasks. Expected outcomes are concrete operational guidelines, statistical uncertainty estimates for explanations, and open reference implementations that clarify when and how argumentation graphs match or exceed decision-tree surrogates in explainability and robustness.</w:t>
      </w:r>
    </w:p>
    <w:p>
      <w:r>
        <w:t xml:space="preserve"> </w:t>
      </w:r>
    </w:p>
    <w:p>
      <w:pPr>
        <w:pStyle w:val="Heading2"/>
      </w:pPr>
      <w:r>
        <w:t>Experiments</w:t>
      </w:r>
    </w:p>
    <w:p>
      <w:r>
        <w:t>Datasets: (1) Synthetic SCM tabular datasets with known causal graphs including linear, nonlinear, interaction (XOR) and confounding variants; (2) 3 standard tabular benchmarks (one demographic-income dataset, one medical risk dataset, one UCI‑style classification); (3) image tasks with patch-level ground truth for occlusion (e.g., small grayscale digits and color images with known patch labels). Teacher models: dense neural networks of three scales — small MLP (~0.5M params), medium MLP/CNN (~10M), large dense model (~100M). Baselines: (A) decision-tree surrogates: CART with cost-complexity pruning, surrogate trees trained on logits, and gradient-boosted trees constrained by max depth and leaf count; (B) direct rule-extraction pipelines where available. Metrics: predictive fidelity (accuracy difference and logit mean-squared-error relative to teacher), surrogate R^2 on logits, explanation fidelity (Pearson/Spearman correlation between surrogate edge weights and reference attributions), causal fidelity (average treatment effect (ATE) on teacher logits from targeted interventions), stability index under input noise/adversarial attacks (change in edge weights / strength vector), complexity (number of nodes, edges, average rule length, token count), and uncertainty (bootstrap 95% CI widths). Experimental setup: nested stratified cross-validation (outer K=5, inner K=3), B=1000 stratified bootstrap replicates, fixed random seeds logged. Solver and hyperparameters: solve WBAG fixed point with Picard iteration (tol=1e-6,max_iter=1000) and compare Anderson acceleration and damped Newton; report κ = λ·Lσ·||W_abs||2 and enforce tests. Ablations and comparisons: (1) κ enforcement ablation: sweep λ∈{1.0,0.5,0.2,0.1} and weight clipping thresholds, measure fidelity R^2 and causal fidelity; (2) attribution-aggregation ablation: compare mean, median, variance-weighted mean, and Shapley-style aggregation for a_{i→j}^{(m)}(x); (3) prototype count ablation: Pareto front of fidelity vs prototype count and knee selection; (4) baseline comparison: match decision-tree depth/leaf budgets to WBAG complexity and compare all metrics. Compute cost profiling: measure per-sample attribution time and memory for small/medium/large models, and report wall-clock for full extraction pipeline. Human evaluation (optional): preregistered within-subject study with N≈34 participants/group comparing comprehension accuracy, time, and trust between WBAG and decision-tree explanations using matched complexity levels, analyzed with linear mixed-effects models.</w:t>
      </w:r>
    </w:p>
    <w:p>
      <w:r>
        <w:t xml:space="preserve"> </w:t>
      </w:r>
    </w:p>
    <w:p>
      <w:pPr>
        <w:pStyle w:val="Heading2"/>
      </w:pPr>
      <w:r>
        <w:t>Risk Factors And Limitations</w:t>
      </w:r>
    </w:p>
    <w:p>
      <w:r>
        <w:t>No unique fixed point: spectral condition κ&lt;1 may fail after aggregation, yielding multiple solutions or nonconvergence. Ill-conditioning: σ_min(I−J_T) may be near zero, amplifying attribution noise and producing unstable strengths. Attribution circularity: using the same attribution family to build and validate edges risks bias; causal interventions may be computationally expensive and may not fully identify causal effects if confounders exist. Scalability and compute: extracting many attributions across large datasets and models is time- and GPU-intensive; full bootstrap CIs (B=1000) amplify cost. Evaluation biases: synthetic SCMs may not reflect real-world confounding and tabular benchmarks may favor particular surrogate forms. Human-study limits: participants and tasks may not generalize across domains and are sensitive to presentation format. Multiple testing dependency: many dependent edge tests complicate false-discovery control. Generalization: results on chosen teacher architectures and datasets may not transfer to architectures with structured sparsity, attention, or non-dense connectivity.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