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forearm_acupoint_backbone_resolution_eval</w:t>
      </w:r>
    </w:p>
    <w:p>
      <w:r>
        <w:t xml:space="preserve"> </w:t>
      </w:r>
    </w:p>
    <w:p>
      <w:pPr>
        <w:pStyle w:val="Heading2"/>
      </w:pPr>
      <w:r>
        <w:t>Title</w:t>
      </w:r>
    </w:p>
    <w:p>
      <w:r>
        <w:t>Benchmarking backbone architectures and input resolution for top-down localization of five forearm acupoints</w:t>
      </w:r>
    </w:p>
    <w:p>
      <w:r>
        <w:t xml:space="preserve"> </w:t>
      </w:r>
    </w:p>
    <w:p>
      <w:pPr>
        <w:pStyle w:val="Heading2"/>
      </w:pPr>
      <w:r>
        <w:t>Short Hypothesis</w:t>
      </w:r>
    </w:p>
    <w:p>
      <w:r>
        <w:t>Changing the backbone architecture and the input image resolution causes measurable differences in localization performance: higher-capacity backbones and larger input resolutions will reduce mean Euclidean error (MRE) and error variability when localizing five forearm acupoints using a fixed top-down heatmap pose-estimation head.</w:t>
      </w:r>
    </w:p>
    <w:p>
      <w:r>
        <w:t xml:space="preserve"> </w:t>
      </w:r>
    </w:p>
    <w:p>
      <w:pPr>
        <w:pStyle w:val="Heading2"/>
      </w:pPr>
      <w:r>
        <w:t>Related Work</w:t>
      </w:r>
    </w:p>
    <w:p>
      <w:r>
        <w:t>Prior work in keypoint localization and human pose estimation has shown two main paradigms: top-down methods that first detect a region and then predict detailed keypoints, and bottom-up methods that detect all keypoints directly. High-resolution networks (HRNet) and residual networks (ResNet) have been strong baselines for heatmap-based localization, while vision transformers (e.g., Swin) have recently matched or exceeded CNNs on general image tasks. Existing studies of input resolution effects report improved fine-detail localization with larger inputs but do not systematically tie pixel errors to clinical millimeter tolerances. Heatmap supervision commonly uses fixed Gaussian sigmas tied to pixel grids, but choices vary and often ignore annotator variability. Limitations of current work include: few studies benchmark backbones and resolutions together while holding the prediction head and supervision fixed; many datasets lack physical scale metadata (mm_per_px) needed for clinical interpretation; small or non-clinical datasets limit generalization; and prior analyses rarely pre-register statistical families, hierarchical models, or correction for correlated tests among nearby landmarks.</w:t>
      </w:r>
    </w:p>
    <w:p>
      <w:r>
        <w:t xml:space="preserve"> </w:t>
      </w:r>
    </w:p>
    <w:p>
      <w:pPr>
        <w:pStyle w:val="Heading2"/>
      </w:pPr>
      <w:r>
        <w:t>Abstract</w:t>
      </w:r>
    </w:p>
    <w:p>
      <w:r>
        <w:t>We evaluate how backbone neural network architectures and input image resolution affect the accuracy of localizing five clinically important forearm acupoints. Using a top-down pose-estimation framework with a fixed heatmap head, we benchmark ResNet-34, ResNet-50, HRNet-w48, and Swin-T across multiple input sizes (256, 384, 512 px) on clean and degraded image splits. Supervision uses Gaussian heatmaps with sigma proportional to resolution to ensure consistent spatial targets; outputs are converted from pixels to millimeters using per-image scale (mm_per_px). We compare models by mean Euclidean error (MRE in mm), normalized MRE, per-point error variance, and clinically relevant PCK thresholds (3, 5, 8 mm). We pre-register paired statistical tests, linear mixed-effects models to account for nested images and subjects, and FDR multiplicity control. The main contribution is a reproducible, clinically grounded benchmark that quantifies backbone and resolution trade-offs in millimeters, yielding concrete recommendations for model selection and input sizing in clinical keypoint detection tasks.</w:t>
      </w:r>
    </w:p>
    <w:p>
      <w:r>
        <w:t xml:space="preserve"> </w:t>
      </w:r>
    </w:p>
    <w:p>
      <w:pPr>
        <w:pStyle w:val="Heading2"/>
      </w:pPr>
      <w:r>
        <w:t>Experiments</w:t>
      </w:r>
    </w:p>
    <w:p>
      <w:r>
        <w:t>Datasets: curated forearm acupoint dataset annotated at native high resolution with per-image forearm_length_mm (distance between lateral epicondyle and ulnar styloid). Pilot: 50–100 images per acupoint annotated by 3–5 raters. Full test: 300–500 images per acupoint. Splits: subject-stratified train/val/test (70/15/15) preserving skin-tone, forearm length, sex, and camera distributions. Create degraded variants (motion blur, AWGN, JPEG compression) deterministically. Baselines: top-down heatmap models with ImageNet-pretrained backbones: ResNet-34, ResNet-50, HRNet-w48, Swin-T. Fixed head: 4 × (3×3 conv, 256 channels, BatchNorm, ReLU), bilinear upsample to input resolution, 1×1 conv to K heatmaps. Supervision: Gaussian heatmaps with sigma_px = 0.02 × resolution_px (explain: sigma controls spread of heatmap peak; larger sigma = smoother target). Convert to mm using mm_per_px = forearm_length_mm / crop_px. Coordinate extraction: primary = soft-argmax (expected value of heatmap for subpixel accuracy), ablation = argmax. Resolutions: 256, 384, 512 px. Pretraining ablation: ImageNet supervised, contrastive (DINO/SimCLR), masked-image-modeling (MAE). Head/sigma ablation (confirmatory): head widths {128,256,512} and sigma k ∈ {0.015,0.02,0.03}. Training: linear-probe (head-only) AdamW lr=1e-3 wd=0.01 epochs=10 batch=128; full fine-tune AdamW lr∈[1e-5,5e-4] log-uniform, wd∈[1e-6,1e-2], cosine annealing, early stop patience=10, 3 seeds per config. Metrics: MRE (mm), normalized MRE (error/forearm_length), std of per-image Euclidean error, PCK@3/5/8 mm, AUC of normalized PCK curve, failure rate (&gt;10 mm). Statistical analysis: paired differences (ResNet-50 vs HRNet-w48) with paired t-test if normal, else Wilcoxon signed-rank; primary hierarchical model: linear mixed-effects model MRE ~ backbone * resolution + (1|subject) + (1|image) + (1|acupoint). Use hierarchical bootstrap (resample seeds then images, ≥1000 samples) for CIs. Multiplicity: Benjamini–Hochberg FDR (q=0.05) on per-acupoint comparisons; pre-registered sensitivity with Westfall–Young stepdown permutation for correlated tests. Decision rule to proceed: any backbone pair with ΔMRE &gt; 0.5 mm AND paired p &lt; 0.05 after FDR OR Cohen's d &gt; 0.3. Repeats and compute: 3 random seeds per experiment; latency and quantization tests on A100 server, Jetson Xavier NX (edge), and a Pixel-class phone (mobile); report median and 95% CI over 100 timed runs after 10 warm-ups. Reproducibility: Docker image, fixed seeds, pinned environment, data and config versioned via DVC, example smoke tests.</w:t>
      </w:r>
    </w:p>
    <w:p>
      <w:r>
        <w:t xml:space="preserve"> </w:t>
      </w:r>
    </w:p>
    <w:p>
      <w:pPr>
        <w:pStyle w:val="Heading2"/>
      </w:pPr>
      <w:r>
        <w:t>Risk Factors And Limitations</w:t>
      </w:r>
    </w:p>
    <w:p>
      <w:r>
        <w:t>Annotation noise and inter-rater variability may set a human ceiling that limits measurable model gains; some acupoints may have high annotator SD, reducing power. Correlated tests across nearby acupoints violate independence assumptions, complicating multiplicity control and increasing false positives if not handled. Small or biased dataset coverage (skin tones, camera types, forearm sizes) can produce evaluation biases that limit generalization. mm_per_px measurement errors or systematic bias in length measures propagate to MRE and PCK and can misstate clinical accuracy. Heatmap sigma mis-specification may favor some backbones or resolutions; fixed sigma may not match per-acupoint anatomy. Transformer backbones may require larger compute and pretraining data; compute limits may force narrower ablation grids. Quantization or runtime optimizations can change accuracy; latency budgets on mobile/edge may force smaller models with lower accuracy. Non-normal paired differences or LMM convergence failures can complicate inference. Ethical/privacy constraints on clinical images may restrict data release and external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