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w:t>
      </w:r>
    </w:p>
    <w:p>
      <w:r>
        <w:t xml:space="preserve"> </w:t>
      </w:r>
    </w:p>
    <w:p>
      <w:pPr>
        <w:pStyle w:val="Heading2"/>
      </w:pPr>
      <w:r>
        <w:t>Title</w:t>
      </w:r>
    </w:p>
    <w:p>
      <w:r>
        <w:t>Scale-Aware Adaptive Supervised Network for Semi-Supervised Medical Image Segmentation with Limited Annotations</w:t>
      </w:r>
    </w:p>
    <w:p>
      <w:r>
        <w:t xml:space="preserve"> </w:t>
      </w:r>
    </w:p>
    <w:p>
      <w:pPr>
        <w:pStyle w:val="Heading2"/>
      </w:pPr>
      <w:r>
        <w:t>Short Hypothesis</w:t>
      </w:r>
    </w:p>
    <w:p>
      <w:r>
        <w:t>Under limited labeled-data conditions, adding per-pixel scale-aware adaptive reweighting, simulated view variance in the 3D Fourier domain, and segmentation–regression consistency with signed distance maps to a semi-supervised segmentation pipeline increases mean Dice score by at least 0.03 compared to a strong semi-supervised baseline.</w:t>
      </w:r>
    </w:p>
    <w:p>
      <w:r>
        <w:t xml:space="preserve"> </w:t>
      </w:r>
    </w:p>
    <w:p>
      <w:pPr>
        <w:pStyle w:val="Heading2"/>
      </w:pPr>
      <w:r>
        <w:t>Related Work</w:t>
      </w:r>
    </w:p>
    <w:p>
      <w:r>
        <w:t>Semi-supervised segmentation methods use teacher-student models, pseudo-labeling, and consistency regularization to extend limited labels. Popular designs include mean-teacher EMA teachers and confidence-thresholded pseudo-labels. Multi-scale and scale-aware ideas appear in multi-resolution feature pyramids, dilated convolutions (which vary receptive field), and attention/FiLM-style conditioning (which modulate features by auxiliary signals). Frequency-domain augmentations and Fourier-based style mixing have been used to simulate domain shifts and increase robustness. Signed distance maps (SDMs) and boundary-aware losses have been applied to improve edge precision by supervising distance-to-boundary regression alongside segmentation. Uncertainty estimation (ensembles, MC-dropout) and calibration (temperature scaling) are used to gate pseudo-labels and report trustworthy confidences. Limitations across these approaches include: reliance on global pooling that breaks strict per-pixel conditioning in distributed training, weak per-pixel scale conditioning (most methods use coarse multi-scale fusion rather than pixelwise scale maps), limited explicit simulation of annotation/view variance in 3D frequency space, insufficient integration of SDM consistency into semi-supervised pipelines, sparse reporting by lesion size (small/medium/large) and boundary metrics, and few standardized gating rules that combine calibration and uncertainty for safe pseudo-label propagation.</w:t>
      </w:r>
    </w:p>
    <w:p>
      <w:r>
        <w:t xml:space="preserve"> </w:t>
      </w:r>
    </w:p>
    <w:p>
      <w:pPr>
        <w:pStyle w:val="Heading2"/>
      </w:pPr>
      <w:r>
        <w:t>Abstract</w:t>
      </w:r>
    </w:p>
    <w:p>
      <w:r>
        <w:t>We address semi-supervised medical image segmentation when annotated data are scarce and lesion sizes vary. We propose a unified framework that (1) predicts per-pixel continuous scale maps to adaptively reweight segmentation outputs, (2) simulates realistic annotation and view variability by perturbing volumes in the 3D Fourier (frequency) domain, and (3) enforces segmentation–regression consistency by jointly supervising segmentation masks and signed distance maps (a distance-to-boundary map). The method integrates spatial (pixel-level), temporal (teacher–student pseudo-labeling), and geometric (distance-map) consistency within a single optimization. Expected contributions are improved Dice and boundary accuracy under limited labels, better small-lesion detection via scale-aware modulation, and safer pseudo-labeling via uncertainty-aware gating informed by calibration. The approach yields a reproducible semi-supervised pipeline with explicit interfaces, ablation plans, and evaluation by per-size-bucket metrics and calibration measures to support robust, clinically relevant segmentation under annotation scarcity.</w:t>
      </w:r>
    </w:p>
    <w:p>
      <w:r>
        <w:t xml:space="preserve"> </w:t>
      </w:r>
    </w:p>
    <w:p>
      <w:pPr>
        <w:pStyle w:val="Heading2"/>
      </w:pPr>
      <w:r>
        <w:t>Experiments</w:t>
      </w:r>
    </w:p>
    <w:p>
      <w:r>
        <w:t>Datasets: 1) BraTS (brain tumor MRI) using T1/T1c/T2/FLAIR for multi-modal segmentation; 2) LiTS (liver CT) for tumor segmentation; 3) One MSD (Medical Segmentation Decathlon) task with small lesion objects (e.g., spleen tumor) to test small-object performance. For each dataset, generate limited-label splits at 5%, 10%, and 20% labeled volumes; keep the remainder unlabeled. Stratify splits by site and lesion-size buckets (small/medium/large defined by object volume tertiles). Baselines: A) full-supervised upper bound using all labels, B) mean-teacher semi-supervised baseline with standard confidence thresholding, C) pseudo-label self-training with single teacher, D) a scale-agnostic variant of our architecture (same backbone but without scale-aware reweighting, Fourier perturbation, or SDM loss). Model variants / ablations: (i) remove scale-aware adaptive reweighting, (ii) remove 3D Fourier view-variance augmentation, (iii) remove SDM consistency loss, (iv) replace MSAP discrete-branch selection with fixed dilations, (v) compare uncertainty gating strategies: ensemble (M=5) vs MC-dropout (T=10). Metrics: primary — Dice coefficient (overlap score, higher is better) reported per-size-bucket; secondary — 95% Hausdorff distance (boundary error, lower is better), lesion-level false-negative rate (FNR), boundary F1, SPH MAE (mean absolute error of predicted scale map; lower is better), Expected Calibration Error (ECE, 15 bins). Also report inference latency (median over 100 runs) and peak GPU memory. Evaluation protocol: stratified 5-fold cross-validation with held-out external center when available; compute 95% bootstrap confidence intervals (1000 resamples) for all metrics. Statistical tests: paired Wilcoxon signed-rank for pairwise comparisons vs baseline, Holm-Bonferroni correction for pre-registered primary per-bucket tests. Experimental setup: identical backbone and training recipe across variants (AdamW lr=1e-4, weight decay=1e-2, cosine schedule with 5-epoch warmup, teacher EMA decay 0.999), fixed random seeds, mixed precision enabled. Semi-supervised specifics: pseudo-label ramp over first 5 epochs, size-aware thresholds small=0.85/medium=0.75/large=0.70 as default, and uncertainty gating applied per candidate pseudo-label. Ablation study: report change in primary metrics when each component is disabled, and plot per-size-bucket precision/recall of pseudo-labels over training. Power &amp; sample-size: run seedable power-simulation notebook that uses observed per-bucket σ from pilot folds to compute required n for Δ=0.03 detection; default target is ~80–120 paired cases per primary comparison depending on σ. Reproducibility: provide seeded scripts, per-experiment configs, and unit tests verifying SPH MAE on synthetic blobs and exact tensor shapes for FiLM parameters.</w:t>
      </w:r>
    </w:p>
    <w:p>
      <w:r>
        <w:t xml:space="preserve"> </w:t>
      </w:r>
    </w:p>
    <w:p>
      <w:pPr>
        <w:pStyle w:val="Heading2"/>
      </w:pPr>
      <w:r>
        <w:t>Risk Factors And Limitations</w:t>
      </w:r>
    </w:p>
    <w:p>
      <w:r>
        <w:t>Technical failure modes: MSAP soft-selection may collapse to a single branch or remain diffuse (poor receptive-field adaptation), temperature and entropy regularizers may need careful tuning, and per-pixel FiLM may increase memory beyond available GPU limits. Data and evaluation biases: limited diversity in training sites can cause poor generalization; small-lesion buckets may have too few examples for stable estimates. Annotation noise: imperfect ground truth or inter-rater disagreement can bias SDM supervision and pseudo-label propagation. Scalability and compute: ensembles or frequent pseudo-label refresh are compute-heavy and increase wall-clock time; high-resolution 3D Fourier augmentations add memory and processing cost. Limits to generalization: method tuned on MRI/CT may not transfer to other modalities without re-tuning; per-pixel scale maps learned on one anatomy may not generalize to very different anatomies. Statistical risks: multiple ablations inflate false discovery risk unless multiplicity is controlled. Operational risks: DDP/distributed training subtle bugs (pooling/broadcasting) can break per-pixel conditioning if not implemented exactly as specified. These factors can limit practical deployment and must be measured in experiments.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