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continuance_intention_gt_survivors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Grounded theory study of factors influencing continuance intention for online consultations among survivors of cancer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perceived usefulness of online consultation platforms causes greater continuance intention among cancer survivors.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health-technology continuance centers on models from information systems (e.g., TAM/UTAUT) and on trust, social influence, usability, and gamification as predictors of ongoing use. Prior studies are often cross-sectional surveys, platform-specific pilots, or technical usability evaluations. Limitations include: reliance on predefined constructs that may miss survivor-specific concerns; sparse qualitative theory-building for survivorship contexts; under-representation of low-digital-literacy, non-native-language, rural, and discontinuation cases; weak links between self-report measures and real usage logs; limited cross-language measurement validation; and few studies jointly examining privacy perceptions, caregiver mediation, and connectivity barriers. These gaps leave unresolved how contextual and clinical features shape continuance intention among cancer survivors.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why cancer survivors continue or discontinue using online consultation platforms. Using grounded theory, we will conduct in-depth interviews with a purposive, maximum-variation sample of adult survivors in southwest China to inductively identify factors that affect continuance intention. We will develop a mid-range theoretical model that integrates technology context (device, connectivity, assistive tech), clinical context (treatment stage, symptoms), psychosocial factors (trust, privacy concern, social influence), and behavioral mechanisms (perceived usefulness, habit, self-efficacy). Main contributions: (1) an empirically grounded theory of continuance intention tailored to survivors of cancer; (2) a reproducible traceability schema linking codes, memos, and items; and (3) a draft measurement instrument with pilot psychometrics for follow-up validation. Expected impact: survivor-centered guidance for telemedicine design, measurement tools for quantitative testing, and evidence to inform equitable digital survivorship services.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Primary: audio transcripts from 30–40 purposive, maximum-variation interviews of adult cancer survivors (southwest China) with recruitment quotas: ≥20% non-Chinese-language speakers, ≥20% low digital literacy, ≥15% rural, ≥10% caregiver-mediated, ≥15% discontinuers. (2) Linked de-identified platform/EHR usage logs for consenting participants (clicks, session durations, appointment counts). (3) Pilot survey dataset: N≈200 for CFA and N≈350–400 for SEM follow-up. Baselines: TAM/UTAUT-derived survey model, Bhattacherjee continuance model, and a model excluding technology/context domains. Evaluation metrics: qualitative: saturation grid (new codes per interview), Krippendorff's alpha for inter-coder reliability (target ≥0.70), code-to-memo traceability counts; quantitative: CFA fit indices CFI/TLI (target ≥0.95), RMSEA (≤0.06), SRMR (≤0.08), standardized factor loadings (≥0.45 desirable), composite reliability, AVE; SEM: standardized path coefficients, indirect-effect estimates with bootstrap 95% CI, model AIC/BIC, R-squared for continuance intention. Invariance tests: multi-group CFA by language using ΔCFI ≤0.01 and ΔRMSEA ≤0.015; where full invariance fails, document partial invariance and anchoring items. Experimental setup: qualitative coding: double-code first 20% transcripts, update living codebook every 10 interviews, stop-rule = three consecutive interviews with no new core-category properties. Map codes to items via annotated matrix. Cognitive interviews: 8–12 per language to refine items. Pilot CFA: estimate factor structure (use WLSMV for ordinal items; WLSMV is an estimator suited to ordered responses), check loadings and fit. SEM: test hypothesized mediated model (Usability → Perceived Usefulness → Continuance Intention) with moderators (self-efficacy, facilitating conditions) and covariates (age, time since treatment, comorbidity, digital literacy). Ablation/comparison studies: (A) full SEM vs model without Trust and Privacy to measure loss of fit and change in path coefficients; (B) model using only self-report predictors vs model augmented with objective usage-log features to test added explanatory power (ΔR-squared); (C) removal of technology-context moderators to assess moderation effects. Power and sample planning: run Monte Carlo simulations varying estimators (WLSMV/MLR), ordinal thresholds, ICCs (.05–.20), cluster sizes, indirect-effect magnitudes (.10/.15/.20) and attrition scenarios to set per-group sample targets. Missing data: primary analysis with FIML (full information maximum likelihood); report MI (multiple imputation) and bootstrap CIs for indirect effects.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Sampling bias: purposive sampling may still under-represent hardest-to-reach survivors (severe illness, no phone, extreme low literacy). Language and translation: cross-language item equivalence may fail for small language groups, limiting multi-group comparisons. Consent and linkage: participants may decline usage-log linkage, reducing power for self-report vs log comparisons. Missing data: attrition or item nonresponse may be MNAR (not missing at random), biasing estimates. Coding reliability: achieving Krippendorff's alpha ≥0.70 for nuanced categories may be challenging. Generalizability: findings from southwest China may not generalize to other regions or health systems. Measurement limits: pilot N may be insufficient for complex SEMs with many parameters, inflating Type I/II errors. Technical logs: platform/EHR logs may be incomplete, inconsistent, or lack standard timestamps and event definitions. Regulatory/privacy constraints: legal or vendor restrictions may prevent complete data linkage. Computational/scaling limits: complex Monte Carlo and multi-group SEMs may require high compute time for reproducible simulations.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