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fair_med_compound_score</w:t>
      </w:r>
    </w:p>
    <w:p>
      <w:r>
        <w:t xml:space="preserve"> </w:t>
      </w:r>
    </w:p>
    <w:p>
      <w:pPr>
        <w:pStyle w:val="Heading2"/>
      </w:pPr>
      <w:r>
        <w:t>Title</w:t>
      </w:r>
    </w:p>
    <w:p>
      <w:r>
        <w:t>Entropy-weighted compound fairness score for intersectional bias detection in healthcare AI</w:t>
      </w:r>
    </w:p>
    <w:p>
      <w:r>
        <w:t xml:space="preserve"> </w:t>
      </w:r>
    </w:p>
    <w:p>
      <w:pPr>
        <w:pStyle w:val="Heading2"/>
      </w:pPr>
      <w:r>
        <w:t>Short Hypothesis</w:t>
      </w:r>
    </w:p>
    <w:p>
      <w:r>
        <w:t>Applying an entropy-weighted compound fairness score to aggregate subgroup bias metrics causes higher sensitivity to intersectional biases and better correlation with simulated subgroup harms than unweighted or single-attribute aggregation methods.</w:t>
      </w:r>
    </w:p>
    <w:p>
      <w:r>
        <w:t xml:space="preserve"> </w:t>
      </w:r>
    </w:p>
    <w:p>
      <w:pPr>
        <w:pStyle w:val="Heading2"/>
      </w:pPr>
      <w:r>
        <w:t>Related Work</w:t>
      </w:r>
    </w:p>
    <w:p>
      <w:r>
        <w:t>Existing fairness work measures group disparities using metrics like true positive rate (TPR) gaps, false positive rate (FPR) gaps, demographic parity, and equalized odds; some efforts examine intersectional cells (multiple attributes combined) and use model-agnostic audits or synthetic data for multi-site testing. Explainable AI (XAI) methods are used to probe model behavior and to surface feature-level drivers of disparity. Limitations of current approaches include: (1) naive aggregation of many subgroup metrics (e.g., simple averages) that treats all subgroup signals equally and can hide small but important intersectional harms; (2) instability and high variance for small subgroups without principled pooling; (3) weak linkage between statistical disparity metrics and clinically interpretable harm estimates; (4) limited reproducibility and cross-site transport checks in applied healthcare settings; and (5) scarce use of entropy or information-theoretic weighting to prioritize informative subgroup signals.</w:t>
      </w:r>
    </w:p>
    <w:p>
      <w:r>
        <w:t xml:space="preserve"> </w:t>
      </w:r>
    </w:p>
    <w:p>
      <w:pPr>
        <w:pStyle w:val="Heading2"/>
      </w:pPr>
      <w:r>
        <w:t>Abstract</w:t>
      </w:r>
    </w:p>
    <w:p>
      <w:r>
        <w:t>We present a model-agnostic framework that detects and prioritizes intersectional biases in healthcare AI by computing a compound fairness score that combines subgroup-level performance and calibration metrics using entropy-based weighting. Entropy-based weighting uses the information content (how variable or surprising each subgroup metric is) to upweight subgroup signals that provide more distinct evidence of bias. The framework produces an interpretable ranked list of intersectional cells, a single compound score for monitoring, and a decision-analytic linkage that translates score thresholds into estimated harms per 1,000 patients. Main contributions are: (1) the compound fairness score formula with entropy-derived weights; (2) a reproducible audit pipeline (versioned code, container image, synthetic OMOP-compatible datasets, and locked analysis notebooks); and (3) an evaluation protocol that shows the method detects clinically meaningful subgroup harms that unweighted or single-attribute aggregations miss. Expected outcome: earlier, interpretable detection of intersectional biases that align with plausible clinical harms and support prioritized remediation.</w:t>
      </w:r>
    </w:p>
    <w:p>
      <w:r>
        <w:t xml:space="preserve"> </w:t>
      </w:r>
    </w:p>
    <w:p>
      <w:pPr>
        <w:pStyle w:val="Heading2"/>
      </w:pPr>
      <w:r>
        <w:t>Experiments</w:t>
      </w:r>
    </w:p>
    <w:p>
      <w:r>
        <w:t>Datasets: (a) MIMIC-IV clinical EHR for acute deterioration tasks (tabular/time-windowed features); (b) SEER or institutional breast-cancer registry for diagnosis/prognosis tasks; (c) synthetic OMOP-compatible datasets mirroring key demographics and prevalences. Baselines: per-attribute TPR gap, worst-group TPR gap (intersectional max gap), unweighted mean aggregation of subgroup metrics, inverse-variance weighted aggregation, and a fairness-aware reweighting training baseline. Metrics: AUROC, AUPRC, calibration-in-the-small (local calibration), subgroup TPR/FPR with 95% bootstrap CIs, compound fairness score (proposed), entropy weights (proposed), decision-analytic harm-per-1,000 estimate (simulated), explanation-fidelity: top-5 feature overlap and cosine similarity (explanation stability). Experimental setup: pre-register all seeds and subgroup lists; stratified 5-fold cross-site validation where applicable; compute subgroup metrics per fold and aggregate with 1000 bootstrap resamples for CIs. Ablations and comparisons: (1) entropy-weighted compound score vs unweighted vs inverse-variance weighting; (2) compound score including intersectional cells vs excluding intersectional cells; (3) effect of minimum-event thresholds (n_pos cutoffs at 50, 200, 1100) on score stability. Statistical tests: paired permutation tests for score sensitivity, ROC/AUPRC differences via DeLong where applicable, and operating-characteristic curves showing true/false alert rates for monitoring detectors. Implementation details: report code, container digest, seeds, and runtime (CPU/GPU) per dataset; publish scripts to reproduce bootstrap and decision-analytic harm calculations.</w:t>
      </w:r>
    </w:p>
    <w:p>
      <w:r>
        <w:t xml:space="preserve"> </w:t>
      </w:r>
    </w:p>
    <w:p>
      <w:pPr>
        <w:pStyle w:val="Heading2"/>
      </w:pPr>
      <w:r>
        <w:t>Risk Factors And Limitations</w:t>
      </w:r>
    </w:p>
    <w:p>
      <w:r>
        <w:t>Small or rare intersectional subgroups may produce high-variance estimates; the compound score can be unstable when many cells have very low event counts (statistical failure mode). Label noise and misclassification in clinical labels can bias subgroup metrics and thus the compound score. Causal confounding and selection biases (e.g., treatment effects before index time) limit interpretation of disparities as causal harms. Entropy weighting may overemphasize noisy but high-variance signals unless minimum-event thresholds are enforced. Differential privacy (DP) application will reduce utility: stronger DP (smaller epsilon) can degrade AUROC, calibration, and explanation fidelity. Cross-site variable mapping and differing prevalences may impede transportability; harmonization requires exact schema alignment. Computational cost: bootstrap CIs, synthetic data generation (GANs), and repeated monitoring retraining increase CPU/GPU and storage needs and may be expensive for multi-site operations. Legal and privacy constraints (HIPAA/GDPR) limit data sharing and external validation in some jurisdictions.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