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flextime_filterbank_explain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Learnable filterbank saliency for explaining time-series model predictions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Learning a shared, trainable bank of bandpass filters and producing saliency weights over filter activations yields explanations that are more interpretable and more robust (higher motif-detection F1, stronger filter-to-concept significance, and higher human clarity ratings) than instance-wise time-domain saliency masks, while maintaining equal predictive accuracy on the same tasks.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fall into two families: (1) time-domain saliency and masking methods that produce per-instance importance masks by occluding or perturbing signal segments or using gradient-based scores; these are simple but tend to be noisy, temporally diffuse, sensitive to small shifts, and hard to relate to frequency content. (2) filter- or spectral-based methods using fixed transforms (wavelets, STFT) or learned convolutional filters; fixed transforms are interpretable but not adaptive, while learned filters in end-to-end models are adaptive but rarely enforced to be band-limited or orthogonal, which reduces their interpretability and reproducibility. Prior learned-band approaches (e.g., parametrized bandpass filters) improve frequency alignment but often lack standardized orthonormalization, stability under mixed precision, and rigorous evaluation of filter-to-concept mapping. Open issues: instability of orthonormalization at scale, absence of standardized regularizers for band-limitedness and analyticity, weak statistical tests for filter→motif claims, and limited reproducibility/CI practices in prior work.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replacing per-example time-domain saliency masks with a shared, trainable filterbank that decomposes time series into interpretable frequency-band components and learns saliency weights over those components to explain model predictions. The method trains a bank of parametric bandpass filters (each an explicit time-domain kernel) and a lightweight combiner that assigns time-varying saliency to filter outputs; regularizers enforce band-limited energy, mutual orthogonality, and analytic (one-sided) spectra to increase interpretability. Explanations are expressed as contributions from human-meaningful frequency bands rather than opaque time masks. The main contribution is a reproducible pipeline: differentiable orthonormalization options (Cayley transform and Gram–Schmidt fallback), FFT-based convolution with mixed-precision safeguards, normalized regularizers, and a statistical evaluation protocol (permutation tests with FDR and Pareto-front λ selection). Expected outcome: clearer, statistically verifiable explanations for complex signals (ECG, EEG, audio) that maintain predictive performance while increasing motif alignment and clinician-perceived clarity.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ECG: PTB-XL and MIT-BIH subsets; EEG: TUH seizure corpus and CHB-MIT pediatric EEG; speech: a 100-hour subset of LibriSpeech; synthetic motif probes covering narrowband oscillations (0.5–100 Hz), spikes (5–200 ms), bursts (0.1–5 s), chirps, and SNRs {0,5,10,20} dB. Baselines: (A) time-domain instance masking/occlusion with reconstruction objective, (B) gradient saliency (Integrated Gradients), (C) fixed wavelet/STFT filterbank with learned combiner, (D) learned time-domain filters without band/ortho regularizers (standard CNN). Model variants (ablations): orthonormalizer={Cayley, Gram–Schmidt straight-through, SVD-projection}, regularizers toggled (L_ortho, L_band, L_phase, L_sparse), conv method={FFT overlap-add, direct conv}, #filters∈{16,32,64}, kernel_len∈{256,1024}. Training and validation: 5-fold time-preserving CV, nested CV for λ-selection using log-uniform grid (λ_ortho∈[1e-4,1e-1], λ_band∈[1e-3,1e0], λ_rec∈[1e-2,1e1], λ_sparse∈[1e-6,1e-2]); Pareto-front construction over (reconstruction SRR, interpretability score). Metrics: predictive accuracy/AUROC, reconstruction SRR (signal-to-reconstruction ratio; higher is better, measured in dB), motif-detection precision/recall/F1 at IoU=0.5 (also report 0.3/0.7), per-filter permutation p-values corrected by Benjamini–Hochberg FDR (q=0.05), orthogonality residual ||H^T H − I||_F, activation sparsity (mean L1/L2 ratio), GFLOPs and peak GPU memory per batch, and human-study clarity/trust Likert scores (within-subject N≈30 pilot). Statistical tests: paired Wilcoxon or block-bootstrap for dependent data, permutation max-T for filter significance. Reproducibility: fixed seeds, mixed-precision FFT in float32, automated finite-difference and complex-step gradient checks (step sizes and tolerances recorded), and CI unit tests (orthogonality &lt;dtype tolerances, gradient error thresholds). Expected comparisons: show improved motif F1 and per-filter significance vs time-domain masks and fixed wavelets without loss in AUROC; show sensitivity of orthogonality and explanation quality across orthonormalizers.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Numerical instability: Cayley inverse can become ill-conditioned for large parametrizations or low precision, causing failed orthonormality or NaNs. Overcomplete/tall filterbanks: Cayley is square by design; extensions may require generator extraction or alternative flows and can introduce bias or identifiability issues. Gradient reliability: finite-difference and complex-step checks depend on step-size and dtype; small steps can be dominated by noise, large steps by nonlinearities. Data and label bias: motif probe realism and clinical labels may be imperfect, biasing filter-to-concept mapping and statistical tests. Statistical dependence: within-recording temporal dependence complicates permutation tests; block-bootstrap choices can affect confidence intervals. Compute and scalability: FFT-based convolution and orthonormalization (SVD/Householder) increase CPU/GPU cost and memory; resource-limited CI runners may be unable to run full checks. Generalization limits: learned bands may not transfer across domains or to nonstationary signals without fine-tuning. Adversarial vulnerability: explanations may be manipulated by small perturbations not covered by CI budgets. Regulatory and privacy constraints: clinical data release and motif-linked outputs may require IRB approval and data-use agreements, limiting reproducibility of some experiments.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