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ecr_transdisciplinary_amr_integration</w:t>
      </w:r>
    </w:p>
    <w:p>
      <w:r>
        <w:t xml:space="preserve"> </w:t>
      </w:r>
    </w:p>
    <w:p>
      <w:pPr>
        <w:pStyle w:val="Heading2"/>
      </w:pPr>
      <w:r>
        <w:t>Title</w:t>
      </w:r>
    </w:p>
    <w:p>
      <w:r>
        <w:t>Mixed-methods genomics-informed transdisciplinary framework to detect and contextualize transferable antimicrobial resistance for targeted interventions</w:t>
      </w:r>
    </w:p>
    <w:p>
      <w:r>
        <w:t xml:space="preserve"> </w:t>
      </w:r>
    </w:p>
    <w:p>
      <w:pPr>
        <w:pStyle w:val="Heading2"/>
      </w:pPr>
      <w:r>
        <w:t>Short Hypothesis</w:t>
      </w:r>
    </w:p>
    <w:p>
      <w:r>
        <w:t>An early-career-researcher-led integrated pipeline combining whole-genome sequencing, phenotypic susceptibility testing, and ethnographic metadata will increase the validated detection rate of transferable antimicrobial-resistance plasmids by at least 20% relative to a genomics-only pipeline.</w:t>
      </w:r>
    </w:p>
    <w:p>
      <w:r>
        <w:t xml:space="preserve"> </w:t>
      </w:r>
    </w:p>
    <w:p>
      <w:pPr>
        <w:pStyle w:val="Heading2"/>
      </w:pPr>
      <w:r>
        <w:t>Related Work</w:t>
      </w:r>
    </w:p>
    <w:p>
      <w:r>
        <w:t>Current approaches for antimicrobial-resistance (AMR) surveillance emphasize genomics-driven surveillance (short-read sequencing and bioinformatics prediction of resistance genes) and phenotype-based susceptibility testing. Predictive modeling work uses genomic features to forecast resistance, while public-engagement and arts/humanities efforts improve communication and uptake of results. Limitations across these threads include siloed workflows (genomics without consistent linkage to phenotype or context), inconsistent quality-control (QC) thresholds and validation rules, limited use of long-read sequencing and functional validation for plasmid transferability, scarce integration of qualitative metadata (social, economic, behavioral) that explain local antibiotic use, and weak operationalization of early-career researcher (ECR) leadership. Dual-use governance and reproducible, version-locked pipelines are often insufficiently specified, reducing transparency and controlled sharing of high-sensitivity derivatives. These gaps constrain detection, contextual interpretation, and policy translation of transferable AMR elements.</w:t>
      </w:r>
    </w:p>
    <w:p>
      <w:r>
        <w:t xml:space="preserve"> </w:t>
      </w:r>
    </w:p>
    <w:p>
      <w:pPr>
        <w:pStyle w:val="Heading2"/>
      </w:pPr>
      <w:r>
        <w:t>Abstract</w:t>
      </w:r>
    </w:p>
    <w:p>
      <w:r>
        <w:t>Antimicrobial resistance (AMR) emerges from biological mechanisms interacting with social and institutional contexts. We propose a transdisciplinary, early-career-researcher-centered framework that integrates whole-genome sequencing (WGS), phenotypic susceptibility testing, and ethnographic metadata to improve detection and contextual interpretation of transferable resistance plasmids. The approach combines standardized QC and escalation rules, orthogonal long-read validation for candidate plasmids, conjugation assays for functional transfer evidence, and structured qualitative data from ECR-led interviews and observations. The main contribution is an operationalized pipeline that links molecular evidence of transferability with local social drivers to produce context-sensitive signals for stewardship and policy. Expected outcomes include higher validated detection rates of transferable plasmids, better-calibrated predictive models of phenotype from genotype, reproducible artifacts (version-locked pipelines and preregistered analyses), and translatable outputs for policy and public engagement that are led and co-produced with ECRs.</w:t>
      </w:r>
    </w:p>
    <w:p>
      <w:r>
        <w:t xml:space="preserve"> </w:t>
      </w:r>
    </w:p>
    <w:p>
      <w:pPr>
        <w:pStyle w:val="Heading2"/>
      </w:pPr>
      <w:r>
        <w:t>Experiments</w:t>
      </w:r>
    </w:p>
    <w:p>
      <w:r>
        <w:t>Datasets: multi-site collection across at least 4 regions, across human-clinical, animal, and environmental sources; per-site per-source target n=400 (ideal) or minimum n=100; overall modeling training target ≥500 isolates with at least 200 resistant and 200 susceptible examples per major drug class where possible. Inclusion: first isolate per episode, ≥12 months temporal coverage. QC thresholds: short-read WGS mean depth ≥30× (target 60× for plasmid detection), AMR-gene coverage breadth ≥90% at ≥10×, assembly N50 ≥100 kb, species purity ≥95%. Experimental arms (baselines): (A) genomics-only (short-read WGS + standard bioinformatics ARG calls), (B) genomics+phenotype (A + MIC data), (C) fully integrated pipeline (B + ethnographic metadata + orthogonal validation). Orthogonal validation: long-read sequencing (ONT or PacBio HiFi) on all genotype–phenotype discordant isolates and on 10–20% random subset; conjugation assays (filter mating) and junction PCRs on prioritized plasmids per rubric. Evaluation metrics: primary—validated transferable plasmid detection rate (number of plasmids with functional transfer evidence divided by candidate plasmids); secondary—genotype→phenotype prediction AUROC and AUPRC, sensitivity/specificity at clinical thresholds, calibration (Brier score) with bootstrapped 95% CIs, prevalence precision (±5% at 95% CI target), %QC pass (WGS and MIC), and time-to-validation. Splits and validation: stratified 60% train / 20% validation / 20% test by site/source, plus external holdout from different region. Ablations: (1) remove long-read validation to measure change in validated-plasmid detection; (2) exclude ethnographic metadata to measure change in model calibration and contextual signal. Reproducibility: preregister analysis and modeling plan on OSF before modeling; provide small synthetic and real test datasets with expected checksums for CI acceptance tests.</w:t>
      </w:r>
    </w:p>
    <w:p>
      <w:r>
        <w:t xml:space="preserve"> </w:t>
      </w:r>
    </w:p>
    <w:p>
      <w:pPr>
        <w:pStyle w:val="Heading2"/>
      </w:pPr>
      <w:r>
        <w:t>Risk Factors And Limitations</w:t>
      </w:r>
    </w:p>
    <w:p>
      <w:r>
        <w:t>Sampling bias and underpowering for low-prevalence species or drug classes may prevent reaching training targets. Laboratory failure modes include contamination, mixed infections, or insufficient WGS depth causing false negatives or spurious assemblies. Long-read sequencing and functional assays add cost and may be limited by supply chains or biosafety capacity at some sites. Ethnographic data may be uneven across sites and subject to reporting bias, limiting linkage utility. Dual-use and re-identification risks constrain public sharing of high-resolution plasmid maps and timelines. Key-management (HMAC keys) and access-control delays can slow data release; legal and cross-border transfer rules may block controlled sharing. Computational limits include storage and CPU for large WGS datasets and reproducibility challenges if reference databases or tool versions are not strictly pinned. Results may not generalize to regions or sources not represented in the sampling frame.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