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push_notification_mrt_hypertension</w:t>
      </w:r>
    </w:p>
    <w:p>
      <w:r>
        <w:t xml:space="preserve"> </w:t>
      </w:r>
    </w:p>
    <w:p>
      <w:pPr>
        <w:pStyle w:val="Heading2"/>
      </w:pPr>
      <w:r>
        <w:t>Title</w:t>
      </w:r>
    </w:p>
    <w:p>
      <w:r>
        <w:t>Microrandomized trial of tailored push notifications to increase short-term physical activity and reduce sodium intake among adults with hypertension</w:t>
      </w:r>
    </w:p>
    <w:p>
      <w:r>
        <w:t xml:space="preserve"> </w:t>
      </w:r>
    </w:p>
    <w:p>
      <w:pPr>
        <w:pStyle w:val="Heading2"/>
      </w:pPr>
      <w:r>
        <w:t>Short Hypothesis</w:t>
      </w:r>
    </w:p>
    <w:p>
      <w:r>
        <w:t>Tailored, just-in-time push notifications cause an immediate increase in moderate-to-vigorous physical activity minutes within 30–60 minutes and, when aggregated over the intervention, cause a reduction in mean daytime home systolic blood pressure at 12 weeks compared with no push-notification exposure.</w:t>
      </w:r>
    </w:p>
    <w:p>
      <w:r>
        <w:t xml:space="preserve"> </w:t>
      </w:r>
    </w:p>
    <w:p>
      <w:pPr>
        <w:pStyle w:val="Heading2"/>
      </w:pPr>
      <w:r>
        <w:t>Related Work</w:t>
      </w:r>
    </w:p>
    <w:p>
      <w:r>
        <w:t>Prior work on digital behavior-change for physical activity and diet includes just-in-time adaptive interventions (JITAIs) and microrandomized trials (MRTs). MRTs randomize intervention delivery at many short-term decision points to estimate proximal effects; prior MRTs have shown that push prompts can produce brief increases in activity. Limitations in existing approaches: most MRTs are small, focus only on activity (not diet), use simple or untailored message content, and rarely link proximal effects to clinically meaningful distal outcomes such as blood pressure. Sodium intake measurement in mobile trials is typically limited or noisy (few studies use 24‑hour urine calibration), reducing validity of dietary effect estimates. Analytic gaps include sparse pre-specification of causal estimands, inconsistent handling of time-varying medication changes, limited use of robust estimators for proximal effects, and weak reporting on missing-data sensitivity (MNAR) and privacy-preserving data releases. These gaps leave unresolved whether acute, tailored push notifications can produce clinically meaningful BP changes through combined activity and sodium behavior change.</w:t>
      </w:r>
    </w:p>
    <w:p>
      <w:r>
        <w:t xml:space="preserve"> </w:t>
      </w:r>
    </w:p>
    <w:p>
      <w:pPr>
        <w:pStyle w:val="Heading2"/>
      </w:pPr>
      <w:r>
        <w:t>Abstract</w:t>
      </w:r>
    </w:p>
    <w:p>
      <w:r>
        <w:t>We propose a reproducible microrandomized trial to test whether tailored, just-in-time push notifications increase short-term physical activity and lower-sodium food choices, and whether these proximal changes translate to a clinically meaningful reduction in daytime home systolic blood pressure (SBP) at 12 weeks in adults with hypertension. The design randomizes delivery of tailored push notifications at repeated daily decision points (within-person randomization) and includes a between-subject control arm without notifications. Primary proximal outcome is MVPA minutes in the 30–60 minute window after a decision point; primary distal outcome is change in mean daytime home SBP baseline→12 weeks. Main contributions: (1) joint estimation of immediate activity, short-term dietary choices, and distal BP using pre-specified causal estimands; (2) a sodium calibration substudy (paired spot and 24‑h urine) to correct dietary measurement error; (3) reproducible analysis using WCLS for proximal effects, g-computation/IPW for mediation, and pre-specified MNAR sensitivity analyses. Expected outcome: quantification of acute push effects and their cumulative clinical impact, providing rigorous evidence to guide JITAI design for hypertension management.</w:t>
      </w:r>
    </w:p>
    <w:p>
      <w:r>
        <w:t xml:space="preserve"> </w:t>
      </w:r>
    </w:p>
    <w:p>
      <w:pPr>
        <w:pStyle w:val="Heading2"/>
      </w:pPr>
      <w:r>
        <w:t>Experiments</w:t>
      </w:r>
    </w:p>
    <w:p>
      <w:r>
        <w:t>Population and sample: Enroll N=160 adults with self-reported hypertension, stable therapy ≥4 weeks. Randomization: 1:1 between-subject to (A) MRT-enabled tailored JITAI arm (within-arm microrandomization of push delivery at each decision point) and (B) control app-only arm (no push notifications). Within the JITAI arm, decision points = 2/day × 56 days (112 potential occasions); availability rules logged. Calibration substudy: a 35% subsample (~56 participants) provide paired spot urine and 24‑h urine at baseline and week 8. Measurements: wearable accelerometer (steps, MVPA minutes), push delivery logs, EMA reports of meal choices, spot urine samples (baseline, week4, week8), 24‑h urine in substudy, home BP (three standardized readings twice daily over 3 consecutive days at baseline and at 12 weeks), and time-stamped medication logs. Baselines for comparison: within-subject untreated decision points versus treated decision points (primary proximal contrast), and between-subject JITAI arm versus control arm for distal SBP. Analysis methods: proximal effects estimated with WCLS (weighted and centered least squares; WCLS is an estimator that uses randomization to unbiasedly estimate proximal causal effects), primary proximal window = 30–60 minutes; secondary proximal windows = 0–15, 15–30, 60–120 minutes. Sodium outcome modeled as binary lower-sodium choice within 24h using logistic mixed-effects models with random intercepts. Distal SBP analyzed with linear mixed model (change score as outcome) including baseline covariates. Mediation: g-computation with IPW (inverse-probability weighting) to decompose total effect on SBP into indirect effects via aggregated MVPA and sodium metrics; medication changes included as time-varying covariates in weights. Missing data: multiple imputation with predictive mean matching for continuous outcomes; MNAR sensitivity via delta-shift and pattern-mixture grids. Ablations/comparisons: (1) tailored content versus generic content (randomized within the JITAI arm to message variant) to test tailoring benefit; (2) decision-point frequency ablation (simulate 1 vs 2 decision points/day in analysis by subsetting) to test burden vs power; (3) omission of calibration (use spot urine uncalibrated) versus regression-calibrated sodium to assess measurement-error impact. Evaluation metrics: proximal mean difference in MVPA minutes (95% CI, p-value), odds ratio for lower-sodium choice, mean SBP change in mmHg (95% CI), mediation effect sizes with bootstrap CIs, and type I error control. Power target: 80% to detect primary scenarios (≈+5 min proximal MVPA and 3 mmHg SBP) under plausible availability and ICC assumptions; report simulation-based power curves and sensitivity to attrition.</w:t>
      </w:r>
    </w:p>
    <w:p>
      <w:r>
        <w:t xml:space="preserve"> </w:t>
      </w:r>
    </w:p>
    <w:p>
      <w:pPr>
        <w:pStyle w:val="Heading2"/>
      </w:pPr>
      <w:r>
        <w:t>Risk Factors And Limitations</w:t>
      </w:r>
    </w:p>
    <w:p>
      <w:r>
        <w:t>Technical failures: wearable non-wear or data loss, push-delivery failures, and timestamp synchronization errors may bias proximal estimates. Measurement error: spot urine sodium is noisy; regression-calibration depends on substudy size and representativeness. Missingness and MNAR: outcome-dependent dropout or long non-wear bursts can invalidate MAR assumptions and reduce power. Medication changes: time-varying antihypertensive adjustments can confound distal effects and complicate mediation interpretation if positivity (overlap) is poor. Multiplicity and inference: multiple proximal windows, message variants, and moderator tests increase false-positive risk if not strictly pre-specified. Generalizability: results may not extend to people without smartphones, low digital literacy, or different healthcare systems. Privacy and governance: de-identification (date shifts, coarse GPS) may hamper seasonal/context analyses; strict re-linking policies may complicate urgent safety follow-up. Computational limits: complex simulation, bootstrap mediation, and DP-sanitized utility experiments may require substantial compute and extend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