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smear_removal_bleach_dentin</w:t>
      </w:r>
    </w:p>
    <w:p>
      <w:r>
        <w:t xml:space="preserve"> </w:t>
      </w:r>
    </w:p>
    <w:p>
      <w:pPr>
        <w:pStyle w:val="Heading2"/>
      </w:pPr>
      <w:r>
        <w:t>Title</w:t>
      </w:r>
    </w:p>
    <w:p>
      <w:r>
        <w:t>Effect of smear-layer removal protocols on color change and dentin microhardness after intracoronal sodium perborate bleaching</w:t>
      </w:r>
    </w:p>
    <w:p>
      <w:r>
        <w:t xml:space="preserve"> </w:t>
      </w:r>
    </w:p>
    <w:p>
      <w:pPr>
        <w:pStyle w:val="Heading2"/>
      </w:pPr>
      <w:r>
        <w:t>Short Hypothesis</w:t>
      </w:r>
    </w:p>
    <w:p>
      <w:r>
        <w:t>Removing the smear layer with 17% EDTA or 37% phosphoric acid before intracoronal sodium perborate bleaching increases peroxide penetration, causing larger color change (higher ΔE00 at 1 week) and greater reduction in coronal dentin Vickers hardness at 1 month than distilled water or no smear removal.</w:t>
      </w:r>
    </w:p>
    <w:p>
      <w:r>
        <w:t xml:space="preserve"> </w:t>
      </w:r>
    </w:p>
    <w:p>
      <w:pPr>
        <w:pStyle w:val="Heading2"/>
      </w:pPr>
      <w:r>
        <w:t>Related Work</w:t>
      </w:r>
    </w:p>
    <w:p>
      <w:r>
        <w:t>Prior studies have compared common smear-layer treatments (EDTA, phosphoric acid, water, or none) and intracoronal bleaching agents, reporting mixed or null effects of EDTA/37% phosphoric acid on bleaching efficacy and dentin hardness. Existing work is limited by small sample sizes, short follow-up, inconsistent colorimetric procedures, limited depth-resolved mechanical testing, scarce tracer validation for peroxide diffusion, and variable statistical control for repeated measures and nesting by tooth region. Many studies lack preregistered analysis plans, standardized reagent QC, multimodal co-registration of color, hardness, and microscopy ROIs, and formal multiplicity control. These gaps leave unresolved whether smear removal meaningfully alters peroxide penetration, clinically perceptible color change (CIEDE2000), or depth-dependent loss of dentin integrity.</w:t>
      </w:r>
    </w:p>
    <w:p>
      <w:r>
        <w:t xml:space="preserve"> </w:t>
      </w:r>
    </w:p>
    <w:p>
      <w:pPr>
        <w:pStyle w:val="Heading2"/>
      </w:pPr>
      <w:r>
        <w:t>Abstract</w:t>
      </w:r>
    </w:p>
    <w:p>
      <w:r>
        <w:t>This study tests whether different smear-layer removal protocols modify color dynamics and dentin mechanical integrity after intracoronal sodium perborate bleaching. Extracted human single-rooted teeth will receive one of four smear treatments (no treatment, distilled water, 17% EDTA, 37% phosphoric acid) prior to standardized intracoronal sodium perborate application; positive and negative control arms (35% H2O2 and sham paste) are included. Color will be measured objectively using CIELab and CIEDE2000 (ΔE00) with a calibrated spectrophotometer; dentin microhardness will be measured by Vickers hardness (depth-resolved 0.25–1.5 mm). Mechanistic endpoints include fluorescent tracer penetration (confocal), SEM/EDS Ca/P profiles, and AFM roughness. Primary contrasts are ΔE00 at 1 week (MCID 1.8) and relative VHN change at 1 month (MCID 15%). Analyses use mixed-effects models and repeated-measures ANOVA with preregistered multiplicity control. Expected outcome: definitive, reproducible evidence on whether smear removal changes bleaching efficacy and depth-dependent dentin weakening.</w:t>
      </w:r>
    </w:p>
    <w:p>
      <w:r>
        <w:t xml:space="preserve"> </w:t>
      </w:r>
    </w:p>
    <w:p>
      <w:pPr>
        <w:pStyle w:val="Heading2"/>
      </w:pPr>
      <w:r>
        <w:t>Experiments</w:t>
      </w:r>
    </w:p>
    <w:p>
      <w:r>
        <w:t>Specimens: extracted human single-rooted anterior teeth (incisor/canine), donors 18–65, intact crowns; storage per SOP. Design: primary arm = 4 smear protocols (no treatment, distilled water, 17% EDTA, 37% phosphoric acid) × standard intracoronal sodium perborate bleaching; additional arms: positive control (35% H2O2) and negative sham (carrier paste without oxidant). Sample size: pilot n=3 per cell for variance estimation; main n≈18 analyzable specimens per cell (total planned up to 360 for factorial arms). Timepoints: baseline, immediate post-treatment, 7 days (1 week), 14 days, 21 days, 30 days (1 month). Measurements: color: Vita Easyshade spectrophotometer, 45°/0° geometry, triplicate spectra per ROI; compute CIELab L*a*b* and CIEDE2000 ΔE00 (CIELab explained: L* lightness, a*/b* color axes). Hardness: Vickers microhardness (VHN) at depths 0.25, 0.5, 0.75, 1.0, 1.25, 1.5 mm with 200 g load, triplicate indents per node; report percent change from baseline; optional nanoindentation for modulus. Mechanistic measures: confocal fluorescent tracer penetration depth and AUC; SEM/EDS Ca/P line profiles; AFM surface roughness (Ra, RMS). Baselines: untreated/no-smear arm and distilled-water arm serve as negative baselines; 35% H2O2 positive control. Calibration and QC: daily spectrophotometer/indenter calibration; reagent QC logs (pH, concentration). Primary endpoints: ΔE00@1wk and relative VHN change@1mo with MCIDs 1.8 and 15% respectively. Statistical analysis: Shapiro–Wilk and Levene tests; two-way repeated-measures ANOVA (factors: smear × time) with Tukey’s HSD for pairwise contrasts for primary planned tests; complementary linear mixed-effects models (Outcome ~ Smear*Time + (1|Tooth) + (1|Tooth:Region)) for depth and nested region analyses; hierarchical gatekeeping for co-primary endpoints, Benjamini–Hochberg FDR for secondary endpoints. Ablations/comparisons: (1) compare EDTA vs phosphoric acid vs water vs none; (2) compare sodium perborate arm vs 35% H2O2 positive control; (3) tracer vs no-tracer subsample to test tracer influence. Reproducibility: blinded outcome assessors, preregistered analysis scripts, pilot-based blinded variance re-estimation (capped), and public deposition of code/data.</w:t>
      </w:r>
    </w:p>
    <w:p>
      <w:r>
        <w:t xml:space="preserve"> </w:t>
      </w:r>
    </w:p>
    <w:p>
      <w:pPr>
        <w:pStyle w:val="Heading2"/>
      </w:pPr>
      <w:r>
        <w:t>Risk Factors And Limitations</w:t>
      </w:r>
    </w:p>
    <w:p>
      <w:r>
        <w:t>Tracer chemistry failure: fluorescent tracer may react or quench with bleaching agents, invalidating penetration measures. Measurement drift: spectrophotometer or hardness indenter calibration drift may introduce systematic error. Specimen variability: donor age, storage time, tooth anatomy may produce high between-tooth variability that reduces power. Small effects: true ΔE00 or VHN differences may be below MCIDs, causing inconclusive results. Missing data: specimen loss or assay failure may violate MAR assumption used for imputation. Depth alignment error: imperfect co-registration of color, hardness, and microscopy ROIs may confound depth-matched analyses. Generalizability: ex vivo extracted-tooth results may not translate directly to in vivo clinical conditions. Ethical and sourcing limits: availability and quality of donor teeth may constrain sample acquisition. Statistical interactions: study may be underpowered to detect small Bleach×Smear×Depth interactions despite overall sample size. Instrument access: limited access to SEM/AFM/nanoindentation may create scheduling bottlenecks and inconsistent imaging batches.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