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postbiotic_cbd_mouthwash_tnf_reduction</w:t>
      </w:r>
    </w:p>
    <w:p>
      <w:r>
        <w:t xml:space="preserve"> </w:t>
      </w:r>
    </w:p>
    <w:p>
      <w:pPr>
        <w:pStyle w:val="Heading2"/>
      </w:pPr>
      <w:r>
        <w:t>Title</w:t>
      </w:r>
    </w:p>
    <w:p>
      <w:r>
        <w:t>In vitro evaluation of a postbiotic mouthwash prototype containing cannabidiol extracts for reduction of tumor necrosis factor-alpha secretion</w:t>
      </w:r>
    </w:p>
    <w:p>
      <w:r>
        <w:t xml:space="preserve"> </w:t>
      </w:r>
    </w:p>
    <w:p>
      <w:pPr>
        <w:pStyle w:val="Heading2"/>
      </w:pPr>
      <w:r>
        <w:t>Short Hypothesis</w:t>
      </w:r>
    </w:p>
    <w:p>
      <w:r>
        <w:t>A postbiotic mouthwash formulation containing cannabidiol (CBD) at achievable in-mouth concentrations causes at least a 30% reduction in secreted TNF-α protein versus vehicle in an in vitro human epithelial–macrophage co-culture model at 24 hours after challenge.</w:t>
      </w:r>
    </w:p>
    <w:p>
      <w:r>
        <w:t xml:space="preserve"> </w:t>
      </w:r>
    </w:p>
    <w:p>
      <w:pPr>
        <w:pStyle w:val="Heading2"/>
      </w:pPr>
      <w:r>
        <w:t>Related Work</w:t>
      </w:r>
    </w:p>
    <w:p>
      <w:r>
        <w:t>Prior work shows cannabinoids (including CBD) and bacterial postbiotic fractions can downregulate inflammatory signaling and reduce cytokine release in cell-based systems. Existing mouthwash research has evaluated antiseptics and antiseptic-free formulations for biofilm control and short-term cytokine effects. Limitations in current approaches include: inconsistent exposure modelling (many studies ignore 30–60 second rinse dynamics and saliva dilution), poor accounting for compound adsorption to saliva, plastics or biofilms, limited orthogonal confirmation of cytokine changes (reliance on single assay types), sparse integration of microbiome safety data, and variable analytical validation for cannabinoids in biological matrices. Studies often lack pre-specified statistical plans and standardized donor-pool strategies, reducing reproducibility. Regulatory-relevant issues such as THC content, metabolite monitoring and stability under mouthwash conditions are also infrequently addressed.</w:t>
      </w:r>
    </w:p>
    <w:p>
      <w:r>
        <w:t xml:space="preserve"> </w:t>
      </w:r>
    </w:p>
    <w:p>
      <w:pPr>
        <w:pStyle w:val="Heading2"/>
      </w:pPr>
      <w:r>
        <w:t>Abstract</w:t>
      </w:r>
    </w:p>
    <w:p>
      <w:r>
        <w:t>Mouthwashes that reduce oral inflammation could improve oral and systemic health if they safely lower pro-inflammatory cytokines such as tumor necrosis factor-alpha (TNF-α). This study tests whether a prototype postbiotic mouthwash containing cannabidiol (CBD) lowers TNF-α secretion in vitro. We will test a panel of formulations with graded CBD-equivalent concentrations using physiologic exposure models (30 s and 60 s rinse pulses with defined dilution/washout and a residue scenario). The primary readout is percent change in secreted TNF-α at 24 h measured by ELISA, supported by orthogonal assays: TNF mRNA, NF-κB p65 nuclear translocation imaging, multiplex cytokines, viability panels, and LC-MS/MS quantitation of cannabinoid recovery. We will compare combined postbiotic+CBD formulations to postbiotic-only and CBD-only ablations and include microbiome safety assays with simplified and saliva-derived biofilms. The main contribution is an integrated, reproducible in vitro framework that links realistic exposure, analytical validation, and mechanistic readouts to produce clear Go/No-Go criteria for translation.</w:t>
      </w:r>
    </w:p>
    <w:p>
      <w:r>
        <w:t xml:space="preserve"> </w:t>
      </w:r>
    </w:p>
    <w:p>
      <w:pPr>
        <w:pStyle w:val="Heading2"/>
      </w:pPr>
      <w:r>
        <w:t>Experiments</w:t>
      </w:r>
    </w:p>
    <w:p>
      <w:r>
        <w:t>Datasets and in vitro models: (1) co-culture of human oral epithelial cells (OKF6/TERT) with THP-1-derived macrophages; (2) 3D reconstructed gingival tissue (EpiGingival) for repeated-exposure safety; (3) biofilm models: simplified consortium (S. gordonii, A. naeslundii, F. nucleatum) and pooled saliva-derived multispecies biofilms. Formulations and doses: prototype formulations with CBD-equivalent concentrations: 0.03, 0.1, 0.3, 1, 3, 10 µg/mL; include vehicle control (no CBD), postbiotic-only, CBD-only, and positive control (NF-κB inhibitor Bay 11-7082). Exposure regimen: 30 s and 60 s rinse pulses followed by immediate 10x and 100x dilution (washout) plus residue condition (sustained low concentration 1–4 h). Replicates: pilot n=6 biological replicates per condition; full study n=10 biological replicates per condition. Primary endpoint: percent change in secreted TNF-α (pg/mL) at 24 h by ELISA. Secondary endpoints: TNF mRNA (RT-qPCR), NF-κB p65 nuclear translocation (high-content imaging), multiplex cytokines (Luminex), cell viability (CellTiter-Glo ATP, LDH release, flow cytometry live/dead). Analytical measures: LC-MS/MS quantitation of cannabinoids and deuterated internal standards for recovery in saliva/media and on surfaces; HS-SPME-GC-MS semiquantitation of terpenes. Baselines: vehicle, no-treatment, positive NF-κB inhibitor. Ablation/comparison studies: (A) postbiotic+CBD vs postbiotic-only vs CBD-only; (B) with and without pooled human saliva; (C) exposure pulse versus residue. Evaluation metrics: percent change in TNF-α vs vehicle, absolute TNF-α (pg/mL), viability (%) with predefined cutoff (see risk section), NF-κB nuclear translocation fold-change, LC-MS percent recovery, biofilm biomass (%) and CFU counts. Statistical analysis: linear mixed-effects model on log(TNF) with fixed effects Treatment*Dose + ExposureTime + Model and random intercepts for Batch and DonorPool; hierarchical testing primary then key secondaries with Benjamini-Hochberg FDR control. Comparison/ablation: quantify effect size of CBD presence (postbiotic+CBD vs postbiotic-only) and dose-response modelling; include sensitivity analysis excluding wells with viability below cutoff.</w:t>
      </w:r>
    </w:p>
    <w:p>
      <w:r>
        <w:t xml:space="preserve"> </w:t>
      </w:r>
    </w:p>
    <w:p>
      <w:pPr>
        <w:pStyle w:val="Heading2"/>
      </w:pPr>
      <w:r>
        <w:t>Risk Factors And Limitations</w:t>
      </w:r>
    </w:p>
    <w:p>
      <w:r>
        <w:t>Assay interference: lipophilic cannabinoids and terpenes can interfere with colorimetric and luminescence assays, producing false signals. Adsorption and loss: cannabinoids may bind to saliva proteins, plastics, biofilms or mucosa, reducing free concentration and causing under-dosing. Donor variability: pooled saliva composition and enzymatic activity vary between donors and pools, creating heterogeneity. Cytotoxicity confounding: partial cell death can lower cytokine release independently of anti-inflammatory action. Biotransformation: salivary or microbial enzymes may metabolize cannabinoids during short exposures, altering active species. Analytical limits: LC-MS/GC LLOQs may be insufficient to quantify very low residual concentrations. Generalization: in vitro reductions in TNF-α may not translate to in vivo clinical benefit. Regulatory constraints: THC content and jurisdictional limits may restrict extract sourcing. Resource limits: shotgun metagenomics and deep sequencing increase cost and compute needs. Statistical power: if actual variance exceeds pilot estimates, study may be underpowered to detect 25–30% effects.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