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infant_anellovirus_atopy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Quantitative ddPCR and metagenomic profiling of infant gut anellovirus composition to test associations with early-life exposures and childhood atopic disease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total anellovirus load at 3 months and a greater rise in anellovirus load between birth and 12 months increase the risk of clinician-confirmed eczema by age 3.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studies have documented that anelloviruses are widespread in infants and often correlate with immune status, and several small or cross-sectional studies reported links between viral burden and allergic outcomes. Existing approaches rely mainly on sequencing-only detection or small-scale qPCR assays, often without calibrated absolute quantitation, limited contamination controls, and inadequate modeling of time-varying confounders (for example, antibiotics or breastfeeding). Limitations include small sample sizes, single timepoint designs that cannot estimate trajectories, inconsistent use of spike-in normalization or ddPCR calibration to obtain absolute viral loads, sparse long-read data that hinder haplotype and recombination analysis, and insufficient replication. Causal inference methods are rarely applied, and many datasets lack rigorous blank-driven decontamination or audit logs, leaving unresolved whether observed associations are robust to contamination, batch effects, or longitudinal confounding.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infant gut anellovirus quantity and early-life changes in anellovirus load associate with childhood atopic disease. We will measure absolute pan-anellovirus copies by ddPCR and characterize anellovirus species composition by shotgun metagenomics in a longitudinal birth cohort with samples across 0–12 months and clinical atopy follow-up to age 5. The main contribution is a pre-registered, quantitative workflow that links calibrated ddPCR loads, contamination-audited metagenomic vOTUs, and long-read haplotypes to rigorous causal models (marginal structural models) that account for time-varying exposures. We will evaluate whether 3-month load and 0–12 month slope predict clinician-confirmed eczema by age 3 and test mediation via immune markers and bacterial microbiome features. Expected outcomes include reproducible effect estimates (OR per 1 SD load), a validated list of candidate anellovirus taxa/haplotypes associated with atopy, and operational standards (LOD, Decontam rules, audit logs) enabling robust replication. Results will clarify whether anellovirus dynamics are biomarkers or contributors to early-life immune development and atopy risk.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 cohort n=647 infants with stool at birth (if available), 3 months, 6 months, and 12 months; pan-anellovirus ddPCR on all samples; shotgun metagenomics at 20–40M PE150 reads/sample on all samples; long-read sequencing (40–60 samples) selected by objective rubric (top quartile load, ≥3 vOTUs, longitudinal change); replication cohort n≈200 with ddPCR and minimal metadata. Baselines: (A) clinical covariates only (maternal atopy, SES, delivery mode), (B) bacterial microbiome features added, (C) sequencing-derived virome metrics without ddPCR calibration, (D) ddPCR absolute load only. Evaluation metrics: odds ratio (OR) per 1 SD change in log10 ddPCR load for eczema by age 3, area under the ROC curve (AUC) for predictive models, net reclassification improvement (NRI), proportion mediated for immune/bacterial mediators, calibration (Hosmer-Lemeshow), and FDR-controlled taxon-level tests. Statistical setup: (1) fit linear mixed-effects models (random intercepts/slopes) to estimate individual 0–12 month load slopes; (2) primary association: logistic regression for eczema using exposure = 3-month log10 ddPCR load and separately slope, adjusted per DAG minimal sets; (3) handle time-varying confounding using marginal structural models (MSM) with stabilized inverse-probability-of-treatment weights (IPTW); explain IPTW as weights that balance groups over time; (4) model left-censored ddPCR (&lt;LOD) with Tobit (interval) regression and Bayesian censored models as sensitivity; explain Tobit as a regression that handles measurements censored below detection; (5) model sequencing counts using centered log-ratio (CLR) transform with a fixed small pseudocount and zero-inflated negative binomial as sensitivity; explain CLR as a log-transform that compares parts relative to the whole; (6) cross-validated prediction: stratified 25% hold-out validation and internal split for model selection; (7) contamination pipeline: apply Decontam prevalence+frequency, remove vOTUs per pre-specified blank rules, and run ablation retaining vs removing flagged vOTUs. Ablation studies: (i) ddPCR absolute load versus spike-normalized sequencing abundance, (ii) CLR transform versus raw counts and zero-inflated models, (iii) with versus without Decontam blank-filtered vOTUs, (iv) Tobit versus zero-inflated modeling for censored values, (v) IPTW truncation thresholds 1st/99th vs 5th/95th percentile. Replication: test top primary and taxon-level findings in external cohort (n≈200) using same pre-registered models. Power/simulations: run R simulations for N=400 enrolled (20% attrition) and for full N=647 to report detectable ORs per 1 SD under atopy incidences 10/15/20% and load SD=0.5–1.0.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Contamination and low biomass: environmental or reagent anelloviruses can produce false positives; blank-driven removal may remove true low-prevalence taxa. Assay variability: ddPCR calibration errors, differing extraction efficiencies, and index-hopping can bias abundance estimates. Censoring and zero-inflation: many samples may be below LOD or zero, complicating models and reducing power. Confounding and causal inference limits: unmeasured confounders (household exposures) and measurement error in mediators can bias MSM and mediation estimates. Clinical outcome misclassification: parental report vs clinician confirmation differences may reduce specificity. Attrition and selection bias: loss to follow-up can reduce effective sample size and bias associations. Reference database gaps: incomplete anellovirus reference sequences limit taxonomic assignment and haplotype interpretation. Compute and storage: deep sequencing and long-read assembly require substantial compute and storage resources. Generalizability: cohort demographics or local exposures may limit applicability to other populations. Multiple testing: taxon- and haplotype-level tests increase false-discovery risk even with FDR control.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