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chatbot_parenting_reaim_cn</w:t>
      </w:r>
    </w:p>
    <w:p>
      <w:r>
        <w:t xml:space="preserve"> </w:t>
      </w:r>
    </w:p>
    <w:p>
      <w:pPr>
        <w:pStyle w:val="Heading2"/>
      </w:pPr>
      <w:r>
        <w:t>Title</w:t>
      </w:r>
    </w:p>
    <w:p>
      <w:r>
        <w:t>Comparative multiple-case study using the RE-AIM framework to evaluate institutionalization of a chatbot-led digital parenting program in low-resource Chinese health and education settings</w:t>
      </w:r>
    </w:p>
    <w:p>
      <w:r>
        <w:t xml:space="preserve"> </w:t>
      </w:r>
    </w:p>
    <w:p>
      <w:pPr>
        <w:pStyle w:val="Heading2"/>
      </w:pPr>
      <w:r>
        <w:t>Short Hypothesis</w:t>
      </w:r>
    </w:p>
    <w:p>
      <w:r>
        <w:t>A standardized chatbot-led digital parenting program will produce a pre-to-6-month increase in positive parenting practices of at least Cohen's d = 0.35 in urban education sites but not in rural health care sites when implemented under the same core protocol.</w:t>
      </w:r>
    </w:p>
    <w:p>
      <w:r>
        <w:t xml:space="preserve"> </w:t>
      </w:r>
    </w:p>
    <w:p>
      <w:pPr>
        <w:pStyle w:val="Heading2"/>
      </w:pPr>
      <w:r>
        <w:t>Related Work</w:t>
      </w:r>
    </w:p>
    <w:p>
      <w:r>
        <w:t>Prior work covers three related areas: (1) digital parenting and parenting-support interventions delivered by mobile apps, SMS, or web, which show small-to-moderate effects on parenting and child behavior but vary in reach and retention in low-resource settings; (2) conversational agents (chatbots) for health education, which can scale content delivery and engagement but have limited trials in parenting and limited evidence on sustained institutional adoption; (3) implementation science using frameworks like RE-AIM (Reach, Effectiveness, Adoption, Implementation, Maintenance) to study program roll-out and scale-up, often highlighting context-specific barriers (workload, infrastructure, policy) and the need for adaptation logs. Limitations in current work include few comparative studies across sectors (health vs education), scarce evidence on chatbot-led parenting programs in low-resource China, inadequate reporting of adaptations and fidelity over time, limited psychometric invariance testing across dialects and migrant groups, and weak integration of data governance issues (local legal constraints) into implementation trials.</w:t>
      </w:r>
    </w:p>
    <w:p>
      <w:r>
        <w:t xml:space="preserve"> </w:t>
      </w:r>
    </w:p>
    <w:p>
      <w:pPr>
        <w:pStyle w:val="Heading2"/>
      </w:pPr>
      <w:r>
        <w:t>Abstract</w:t>
      </w:r>
    </w:p>
    <w:p>
      <w:r>
        <w:t>This study compares how a standardized chatbot-led digital parenting program is implemented and institutionalized across urban education and rural health care settings in low-resource areas of China using a multiple-case RE-AIM design. We collect program documents, platform logs, structured fidelity checklists, and mixed qualitative and quantitative data at baseline, 3, 6, and 12 months. The main contribution is a cross-sector, mechanism-focused analysis that links documented adaptations and fidelity to RE-AIM outcomes (reach, effectiveness, adoption, implementation quality, maintenance). We test whether the same core chatbot program achieves a pre-to-6-month effect size of d = 0.35 in positive parenting practices in urban schools but not in rural clinics, and identify shared and sector-specific facilitators, barriers, and causal pathways. Expected impact: clear, actionable guidance on which implementation strategies and adaptations lead to sustained institutional adoption in low-resource Chinese contexts and a measured set of governance, measurement, and cost benchmarks for scale-up.</w:t>
      </w:r>
    </w:p>
    <w:p>
      <w:r>
        <w:t xml:space="preserve"> </w:t>
      </w:r>
    </w:p>
    <w:p>
      <w:pPr>
        <w:pStyle w:val="Heading2"/>
      </w:pPr>
      <w:r>
        <w:t>Experiments</w:t>
      </w:r>
    </w:p>
    <w:p>
      <w:r>
        <w:t>Design: comparative multiple-case mixed-methods with cluster-level implementation arms; sites are clusters. Sites and sample sizes: two scenarios. Pilot scenario: 6 sites (3 urban education, 3 rural health), n=50 caregivers per site, total N=300. Scaled scenario: 20 sites (10/10), n=60 per site, total N=1200. Arms (within each sector): (A) chatbot-only (core protocol delivered via chatbot) and (B) chatbot+facilitator (chatbot plus brief provider facilitation). Randomization: where feasible randomize sites within sector to A or B; if not feasible use matched assignment and report bias risks. Timepoints: baseline, 3 months, 6 months (primary), 12 months (maintenance). Datasets: caregiver surveys (positive parenting practices scale continuous), child behavior (SDQ total), caregiver stress scale, platform logs (module starts/completions, timestamps), site adoption records, cost logs, qualitative interviews and focus groups. Baselines for comparison: pre-post within sites and between-arm contrasts (A vs B); also sector contrasts (education vs health). Evaluation metrics: primary: change in positive parenting practices (continuous) and Cohen's d at 6 months; secondary: SDQ change, caregiver stress, module completion rate (binary), site adoption proportion at 12 months, cost per beneficiary. Statistical models: linear mixed-effects models (LME) with random intercepts for site and participant; time as fixed effect and random slope if justified. (Explanation: LME models account for measurements nested in participants and participants nested in sites.) Covariates: baseline outcome, child age, caregiver SES, migrant status, urban/rural. ICC assumptions and sample-size implications: Pilot scenario approximate minimal detectable effect (MDE): with 6 clusters, n=50, ICC=0.02 → MDE ≈ 0.33; ICC=0.05 → MDE ≈ 0.45. Scaled scenario: 20 clusters, n=60, ICC=0.02 → MDE ≈ 0.18; ICC=0.05 → MDE ≈ 0.26. Missing data: use multiple imputation by chained equations (MICE) under MAR (missing at random), report sensitivity using pattern-mixture models for MNAR. Measurement checks: multi-group confirmatory factor analysis (CFA) for measurement invariance across dialects, migrant status, and sector; if small groups use alignment optimization or DIF tests. Mediation/causal tests: model adaptations (time-varying) → fidelity → outcomes using multilevel mediation with 1-2 lag structures; propensity-weighted analyses (IPW) if time-varying confounding suspected (explain: IPW creates weights to adjust for differing probabilities of exposure over time). Ablation studies: (1) compare chatbot-only vs chatbot+facilitator to estimate facilitation effect; (2) compare analyses including vs excluding adaptation log covariates to quantify value of tracking adaptations. Qualitative analysis: thematic framework mapped to RE-AIM and realist CMO (context-mechanism-outcome) mapping. Pre-registration: specify primary/secondary outcomes, exact LME formulas, imputation plan, subgroup analyses (migrant, low-literacy, urban/rural) and multiplicity controls (Holm procedure).</w:t>
      </w:r>
    </w:p>
    <w:p>
      <w:r>
        <w:t xml:space="preserve"> </w:t>
      </w:r>
    </w:p>
    <w:p>
      <w:pPr>
        <w:pStyle w:val="Heading2"/>
      </w:pPr>
      <w:r>
        <w:t>Risk Factors And Limitations</w:t>
      </w:r>
    </w:p>
    <w:p>
      <w:r>
        <w:t>Technical failures: chatbot downtime, unreliable offline sync, platform crashes leading to data loss. Data and legal risks: incomplete PIPL compliance, inability to export needed data for central analysis, delays in DSAs. Engagement risks: low reach or module completion, especially among low-literacy or migrant caregivers. Measurement biases: scales may not be invariant across dialects or migrant groups, producing biased comparisons. Study design limits: small number of clusters reduces causal power and increases variance; non-random assignment (if used) raises confounding risk. Statistical limits: high ICC or high attrition (&gt;25%) will reduce power to detect d=0.35. Generalizability: findings may not extend beyond sampled provinces, urban education contexts, or rural health clinics in China. Cost and sustainability: local fiscal constraints may prevent adoption despite positive effects. Resource limits: limited staff/time for fidelity checks or qualitative follow-up may reduce data completeness. Computational limits: secure, in-country hosting and encryption add overhead and slow iterative analysis.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