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cmrxmotion_dvf_provenance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Calibration and validation of deformation vector fields for simulator-driven robustness of myocardial segmentation and image-quality assessment under respiratory motion in cardiac cine MRI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Training deep-learning segmentation and image-quality models using k-space simulations generated from deformation vector fields (DVFs) calibrated to multimodal in-vivo motion traces reduces myocardium segmentation error (increase Dice by &gt;=0.05) and reduces EDV/ESV bias by &gt;=5 mL on respiratory-motion corrupted cardiac cine MRI compared to training without calibrated DVF augmentation.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includes deep-learning myocardial segmentation on cardiac cine MRI, motion-aware reconstruction methods (for example respiratory-binned and motion-compensated compressed sensing), and synthetic motion augmentation using parameterized DVFs. Existing image-quality assessment methods classify motion severity from images or reconstructed signals. Limitations: synthetic motion generators often lack standardized provenance and cross-modal validation, causing a domain gap to real respiratory motion; DVF formats and coordinate conventions are not standardized across vendors, hindering reproducibility; few studies validate simulated DVFs against external trackers or tagging/DENSE ground truth; evaluation protocols rarely use fully held-out centers or stress-test failure modes, which allows optimistic results from site leakage; uncertainty propagation from DVF error into clinical endpoints (EDV/ESV/EF) is underexplored; and public baselines often omit deterministic seeds, containerization, and explicit compute/runtime specs.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Respiratory motion causes artifacts in cardiac cine MRI that degrade automated myocardial segmentation and image-quality assessment. We propose a reproducible pipeline that calibrates deformation vector fields (DVFs) from multimodal in-vivo traces (surface trackers, k-space self-gates, and image registrations) and uses these calibrated DVFs to generate k-space simulations for training robust deep-learning models. A DVF is a per-voxel displacement field describing how tissue moves; k-space is the raw MR signal before image reconstruction. Main contributions: (1) formal DVF coordinate and file conventions with provenance metadata; (2) a calibration toolkit that maps measured traces to physiologic DVF priors enforcing Jacobian positivity (no folding) and velocity bounds; and (3) benchmark experiments using multi-vendor held-out centers and stress-test modes (arrhythmia, coil dropout) to evaluate segmentation accuracy, clinical volume bias, image quality, and DVF fidelity. Expected outcome: demonstrable reduction in segmentation error and clinical endpoint bias under respiratory motion, and public, machine-readable artifacts (DVF specs, validation scripts, containerized baselines) to enable reproducible evaluation.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the CMRxMotion controlled-motion dataset with simulated-motion releases (N=1000 total subjects across Siemens/GE/Philips, majority 3T), a held-out center per vendor for final testing (no training access), and a clinician-annotated extreme-motion cohort (N=25). Create stress-test subsets: arrhythmia (N=50), off-resonance (N=50), coil-dropout (N=50). Baselines: (B1) segmentation model trained on standard reconstructions without motion augmentation; (B2) same model trained with uncalibrated synthetic DVF augmentation; (B3) motion-compensated reconstruction (XD-binning) followed by segmentation; (B4) oracle model trained with ground-truth registered DVFs where available. Proposed method: model trained with k-space simulations produced from calibrated DVFs that enforce Jacobian positivity and matched amplitude/velocity distributions. Metrics: myocardium Dice (overlap, range 0-1), HD95 (95th percentile Hausdorff distance, mm), EDV/ESV bias and 95% limits-of-agreement (mL), EF bias (percentage points), SSIM and PSNR for image quality, DVF EPE (endpoint error in mm; median and 95th percentile), and ECE (expected calibration error) for uncertainty. Setup: stratified train/val/test split by site/vendor (train 70%, val 10%, test 20%), plus leave-one-site-out cross-validation. Training: PyTorch with fixed random seeds, Docker container, single A40-class GPU (24–48GB), deterministic data loaders. Statistical analysis: compute 95% bootstrap confidence intervals for primary metrics and perform paired Wilcoxon signed-rank tests comparing proposed method to B1-B3 on held-out test data (alpha=0.05). Ablations: (A1) calibrated vs uncalibrated DVF augmentation; (A2) DVF parameterization PCA basis vs control-point B-splines; (A3) propagate DVF uncertainty into EDV/ESV via bootstrap vs analytic linearization; (A4) training with reconstructed images vs direct k-space simulation inputs. Report runtime, GPU-hours, and containerized evaluation scripts.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DVF ground-truth errors: nonrigid registration and external trackers have finite error (median EPE may be 1–3 mm), which will propagate into simulator priors and can bias results. Registration failures: large off-resonance, low SNR, or severe coil dropout may break automated registration, causing invalid DVFs. Edge cases: arrhythmia and highly irregular respiration complicate cycle alignment; methods that assume regular cardiac/respiratory cycles may perform poorly. Domain gap: simulated DVFs, even calibrated, may not capture all scanner/vendor-specific k-space idiosyncrasies. Privacy and legal constraints: sharing raw k-space and coil profiles may be restricted by site DUAs, reducing reproducibility for external researchers. Compute limits: reproducible baselines may require high-memory GPUs and &gt;48 GPU-hours; resource constraints could limit participation. Sample-size limits: stress-test subsets (20–50 cases per mode) may still have limited power to detect small effects in some subgroups. Leaderboard leakage: insufficient anti-leakage controls (containerization, hidden test centers) can bias rankings if not strictly enforced. Generalization: performance may not transfer to scanners/vendors outside the collected mix or to pediatric populations without additional data.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