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psd_bcss_addiction_recovery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Evaluating the causal effects of persuasive systems design features in behavior change support systems for recovery from digital and alcohol addiction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 adults with digital or alcohol addiction, a behavior change support system (BCSS) that includes specified persuasive systems design (PSD) features causes higher user engagement and a greater increase in percent days abstinent at 3 months than an equivalent BCSS without those PSD features.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uses persuasive technology, just-in-time adaptive interventions (JITAI), contingency management (CM), and digital cognitive-behavioral modules within BCSS to support addiction recovery. Prior studies show promise for JITAI-triggered support and incentives but typically evaluate bundled interventions rather than isolating specific software features. Many analyses focus on short pilots, lack rigorous proximal causal estimands for decision-point effects, or rely on self-report without biomarker confirmation. Common weaknesses include small sample sizes, limited sensitivity analyses for missing data (especially not addressing missing-not-at-random), sparse operational safety and remote-biomarker protocols, and minimal attention to privacy/fairness in model updates. Comparative ablation studies of PSD components (e.g., social prompts vs individual prompts; MI-style vs CBT micro-practice; incentive vs none) are rare, leaving which precise features drive engagement and recovery unresolved.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which persuasive systems design (PSD) features in a behavior change support system (BCSS) causally improve recovery from digital and alcohol addiction. We use a three-stage approach: (1) foundational co-design and feature taxonomy development with diverse users; (2) an app pilot implementing prioritized PSD elements with remote biomarker and EMA procedures; (3) experimental evaluation including a micro-randomized trial (MRT) to estimate short-horizon, decision-point effects and a pragmatic randomized controlled trial (RCT) to estimate 3-month distal outcomes. The main contribution is an evidence map linking specific PSD features (tailored JITAI prompts, social support prompts, contingency management, commitment contracts, and micro-CBT content) to proximal lapse risk, engagement metrics, self-efficacy, and percent days abstinent. Expected outcomes are quantifiable causal estimates for individual features, validated remote biomarker SOPs, pre-specified estimands and sensitivity analyses for missing data, and reproducible analytic code to inform safer, privacy-aware BCSS design for addiction recovery.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cohorts: recruit adults (18+) into two parallel cohorts: digital-addiction cohort and alcohol-addiction cohort. Stage 2 pilot: N=30 per cohort for feasibility and SOP validation. Stage 3 MRT: N=150 total per cohort for proximal tests (4-hour primary window), with 4 decision points/day for 8 weeks (~224 decision points/person), assumed availability 70%. Pragmatic RCT: two-arm ITT trial per cohort with per-arm n≈180 (total ≈360) to detect a 10 percentage-point difference in percent days abstinent at 3 months (SD≈30%). Baselines and arms: (A) control BCSS (core tracking + neutral notifications) and (B) enhanced BCSS with PSD feature set. Ablations within MRT: randomize at decision points to (1) push vs no-push, (2) MI-style content vs CBT micro-practice, (3) social prompt vs individual prompt, and (4) incentive prompt vs none. Evaluation metrics: primary distal = percent days abstinent at 3 months (continuous); primary proximal = binary lapse within 4 hours after decision point; secondary = self-efficacy score (validated scale), EMA craving intensity, engagement (daily active days, module completion), and biomarker-confirmed use (EtG, breathalyzer, cotinine, urine immunoassay). Analytical methods: MRT proximal effects estimated by weighted-and-centered (W&amp;C) estimator with robust SEs and report marginal risk differences; RCT distal effects via marginal GEE (identity link) with robust SEs; time-to-relapse via Cox PH with site frailty. Missing data: multiple imputation by chained equations (MICE) and pre-specified pattern-mixture MNAR sensitivity grid. Baselines for comparison: control app and within-MRT contrasts; ablation study compares content and delivery features. Reporting: include CIs, unadjusted p-values, hierarchical gatekeeping for multiplicity, and prespecified subgroup analyses by primary substance, age band, and sex.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unreliable push delivery, sensor dropouts, or server outages can reduce decision-point availability and bias MRT estimates. Model drift: predictive rules for JITAI triggers may degrade over time, affecting proximal causal estimates. Data biases: selective attrition and low EMA response rates can induce non-random missingness; MNAR scenarios may remain plausible. Biomarker limits: detection windows and false negatives/positives in remote collection can misclassify outcomes. Privacy and re-identification: high-dimensional sensor features risk re-identification despite de-identification; privacy budgets may reduce model utility. Fairness and small subgroups: subgroup checks may be underpowered for intersectional groups, limiting remediation confidence. Scalability and cost: clinician monitoring and confirmatory assays increase per-participant cost and may limit sample size. Generalization: results in adult cohorts may not generalize to adolescents, other substances, or different cultural contexts. Multiplicity and interpretability: multiple contrasts raise type I error risk even with gatekeeping and can complicate causal attribution when features interact.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