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isosativan_mtorc2_aktn_muscle_atrophy</w:t>
      </w:r>
    </w:p>
    <w:p>
      <w:r>
        <w:t xml:space="preserve"> </w:t>
      </w:r>
    </w:p>
    <w:p>
      <w:pPr>
        <w:pStyle w:val="Heading2"/>
      </w:pPr>
      <w:r>
        <w:t>Title</w:t>
      </w:r>
    </w:p>
    <w:p>
      <w:r>
        <w:t>Investigation of isosativan modulation of mTORC2/AKT signaling and muscle atrophy genes in a high-fat diet/low-dose streptozotocin diabetic rat model</w:t>
      </w:r>
    </w:p>
    <w:p>
      <w:r>
        <w:t xml:space="preserve"> </w:t>
      </w:r>
    </w:p>
    <w:p>
      <w:pPr>
        <w:pStyle w:val="Heading2"/>
      </w:pPr>
      <w:r>
        <w:t>Short Hypothesis</w:t>
      </w:r>
    </w:p>
    <w:p>
      <w:r>
        <w:t>Oral isosativan increases mTORC2-driven AKT Ser473 phosphorylation, reduces expression of muscle atrophy genes atrogin-1 and MuRF1, and thereby attenuates skeletal muscle fiber atrophy and functional loss in HFD/STZ diabetic rats.</w:t>
      </w:r>
    </w:p>
    <w:p>
      <w:r>
        <w:t xml:space="preserve"> </w:t>
      </w:r>
    </w:p>
    <w:p>
      <w:pPr>
        <w:pStyle w:val="Heading2"/>
      </w:pPr>
      <w:r>
        <w:t>Related Work</w:t>
      </w:r>
    </w:p>
    <w:p>
      <w:r>
        <w:t>Prior research establishes that impaired AKT phosphorylation at Ser473 (a site modified by mTORC2, the protein complex 2 of mechanistic target of rapamycin) contributes to muscle atrophy in diabetes. Standard diabetic preclinical models use high-fat diet plus low-dose streptozotocin (HFD/STZ) to mimic insulin resistance with partial beta-cell loss; these models show upregulation of E3 ubiquitin ligases (atrogin-1/MuRF1) that mediate proteolysis. Pharmacological and genetic interventions that restore AKT signaling can reduce muscle wasting, but existing studies often lack rigorous exposure–response linking (unbound tissue drug levels), orthogonal pharmacodynamic (PD) assays, and quantitative histology across muscle regions. Natural product studies of propolis constituents are limited in mechanistic depth and PK characterization; commonly reported weaknesses include incomplete bioanalytical validation, absence of unbound concentration (Kp,uu) measures, limited use of mTORC2-specific controls, and underpowered functional endpoints. These gaps leave open whether a propolis-derived compound can modulate mTORC2/AKT in vivo with sufficient exposure and specificity to change atrophy outcomes.</w:t>
      </w:r>
    </w:p>
    <w:p>
      <w:r>
        <w:t xml:space="preserve"> </w:t>
      </w:r>
    </w:p>
    <w:p>
      <w:pPr>
        <w:pStyle w:val="Heading2"/>
      </w:pPr>
      <w:r>
        <w:t>Abstract</w:t>
      </w:r>
    </w:p>
    <w:p>
      <w:r>
        <w:t>Diabetic skeletal muscle atrophy reduces strength and quality of life. This study tests whether isosativan, a compound isolated from Nigerian propolis, modulates mTORC2-mediated AKT Ser473 phosphorylation and downstream atrophy genes (atrogin-1, MuRF1) to reduce muscle wasting in a HFD/STZ diabetic rat model. We will combine in vitro potency assays in differentiated myotubes to set PD targets with in vivo PK/PD studies that measure unbound plasma and muscle exposure (Kp,uu), orthogonal PD assays (capillary immunoassay and targeted phosphopeptide LC-MS/MS for p-AKT Ser473), quantitative muscle histology, and functional readouts (grip strength, muscle force). Main contributions are: (1) linking unbound tissue exposure to mTORC2-specific PD modulation, (2) testing causality with mechanistic perturbations (AAV-shRictor and AKT S473 mutants), and (3) delivering quantitative histology and exposure–response models. Expected outcome is a reproducible, exposure‑anchored assessment of isosativan’s ability to restore AKT signaling and mitigate diabetic muscle atrophy, informing translational potential and go/no-go decisions for further preclinical development.</w:t>
      </w:r>
    </w:p>
    <w:p>
      <w:r>
        <w:t xml:space="preserve"> </w:t>
      </w:r>
    </w:p>
    <w:p>
      <w:pPr>
        <w:pStyle w:val="Heading2"/>
      </w:pPr>
      <w:r>
        <w:t>Experiments</w:t>
      </w:r>
    </w:p>
    <w:p>
      <w:r>
        <w:t>Overview: Combined in vitro and in vivo experiments to test exposure–response and mechanism.</w:t>
        <w:br/>
        <w:br/>
        <w:t>In vitro potency and mechanism (datasets: C2C12 differentiated myotubes and primary rat myotubes):</w:t>
        <w:br/>
        <w:t>- Treatments: isosativan dose-range (0.1 nM–100 µM, 10-point log series), insulin (positive control), PP242 (mTOR inhibitor), vehicle.</w:t>
        <w:br/>
        <w:t>- Readouts: p-AKT Ser473 by capillary immunoassay (automated Western) and targeted phosphopeptide LC-MS/MS; total AKT; p-p70S6K and p-4EBP1 (mTORC1 markers); FoxO3a phosphorylation; Mafbx (atrogin-1) and MuRF1 mRNA by qPCR; autophagy markers LC3-II/I and p62 by Western.</w:t>
        <w:br/>
        <w:t>- Outputs: EC50/IC50 for p-AKT Ser473 (two orthogonal assays), time-course (0–24 h) to define Tmax for PD.</w:t>
        <w:br/>
        <w:t>- Analysis: nonlinear regression for EC50, assay concordance (Pearson r) between assays.</w:t>
        <w:br/>
        <w:br/>
        <w:t>In vivo model and groups (dataset: Sprague-Dawley rats):</w:t>
        <w:br/>
        <w:t>- Animals: Sprague-Dawley rats, both sexes, age 10–12 weeks at treatment start.</w:t>
        <w:br/>
        <w:t>- Diabetes induction: 4-week high-fat diet then single low-dose STZ 35 mg/kg i.p.; inclusion if fasting glucose &gt;200 mg/dL on two measures 48–72 h post-STZ.</w:t>
        <w:br/>
        <w:t>- Treatment arms (initial pilot then full study): vehicle control; isosativan low/mid/high (PO daily) with doses chosen to target free Cavg ≈ 10×, 20×, and 30× in vitro EC50 for p-AKT; positive comparator: insulin acute for PD; mechanistic arms: isosativan + AAV-shRictor, isosativan + AAV-AKT S473A (nonphosphorylatable), and isosativan + AAV-AKT S473D (phosphomimetic) or PP242 comparator.</w:t>
        <w:br/>
        <w:t>- Group sizes: pilot n=4–6/group for variance estimation; planned powered n=10–12/group for primary endpoints after blinded re-estimation.</w:t>
        <w:br/>
        <w:br/>
        <w:t>PK/PD sampling and assays:</w:t>
        <w:br/>
        <w:t>- PK: plasma and tissues (liver, kidney, skeletal muscle) sampling at 0.25, 0.5, 1, 2, 4, 8, 12, 24, 48 h after single dose and at steady state; IV bolus single-dose arm for bioavailability. Bioanalysis by validated LC-MS/MS with isotopic IS if available. Measure plasma fu by equilibrium dialysis.</w:t>
        <w:br/>
        <w:t>- Muscle unbound concentration (Kp,uu): primary via in vivo microdialysis in hindlimb muscle with perfusion recovery calibration; fallback: tissue homogenate binding (futissue) + PBPK correction.</w:t>
        <w:br/>
        <w:t>- PD tissue harvest aligned to PK timepoints: 0.5, 1, 2, 4, 24 h and steady-state trough. PD assays: p-AKT Ser473 (capillary immunoassay and phosphopeptide LC-MS/MS), total AKT, p-PRAS40, p-FOXO3a, Mafbx/MuRF1 mRNA, LC3/p62.</w:t>
        <w:br/>
        <w:br/>
        <w:t>Functional and histological endpoints:</w:t>
        <w:br/>
        <w:t>- Functional: weekly grip strength (digital gauge), in situ muscle specific force at terminal (normalized to muscle CSA), body weight, food intake.</w:t>
        <w:br/>
        <w:t>- Imaging: weekly high-frequency ultrasound for muscle volume; MRI baseline/end if available.</w:t>
        <w:br/>
        <w:t>- Histology: TA, gastrocnemius, soleus, EDL proximal/mid/distal sampling; laminin staining for fiber segmentation; MyHC isoforms for fiber-type; H&amp;E; LC3/ubiquitin; quantify per-fiber CSA (200–300 fibers/region/animal), fiber-type proportions, regeneration indices.</w:t>
        <w:br/>
        <w:br/>
        <w:t>Baselines and controls:</w:t>
        <w:br/>
        <w:t>- Vehicle control, insulin acute activation control, PP242 mechanistic comparator, AAV controls (null vector).</w:t>
        <w:br/>
        <w:br/>
        <w:t>Evaluation metrics and statistics:</w:t>
        <w:br/>
        <w:t>- Primary endpoints: mean muscle fiber CSA (% change vs vehicle), grip strength (% change), p-AKT Ser473 change (% vs vehicle) at predefined PD timepoint.</w:t>
        <w:br/>
        <w:t>- Secondary endpoints: Mafbx/MuRF1 mRNA fold-change, muscle specific force, body weight change, Kp,uu and unbound exposure metrics (free Cmax, free AUC0–24).</w:t>
        <w:br/>
        <w:t>- PK metrics: Cmax, Tmax, AUC0–t, AUC0–∞, t1/2, CL, Vd, bioavailability, fu, Kp,uu.</w:t>
        <w:br/>
        <w:t>- Statistical tests: mixed-effects model for longitudinal outcomes (grip, body weight) with fixed effects for treatment, time, sex and random intercepts for animal; ANCOVA for terminal CSA with baseline covariates; exposure–response modelling (NLME PK linked to Emax or indirect response PD models for p-AKT). Multiplicity control by false discovery rate. Significance α=0.05.</w:t>
        <w:br/>
        <w:br/>
        <w:t>Ablation/validation studies:</w:t>
        <w:br/>
        <w:t>- Mechanistic ablation: compare isosativan effect with and without Rictor knockdown (AAV-shRictor) and AKT S473A/S473D rescue constructs; expected loss of PD effect with Rictor knockdown and restoration with S473D if mTORC2/AKT S473 is causal.</w:t>
        <w:br/>
        <w:t>- PD assay orthogonality: compare p-AKT Ser473 quantitation by capillary immunoassay vs targeted LC-MS/MS on the same samples; report concordance and use both for primary PD calls.</w:t>
        <w:br/>
        <w:br/>
        <w:t>Decision rules:</w:t>
        <w:br/>
        <w:t>- Pilot-driven sample-size re-estimation; proceed to full study if PD modulation and exposure meet prespecified thresholds (e.g., ≥50% p-AKT Ser473 change at free exposure ≥10× EC50) else stop for futility.</w:t>
      </w:r>
    </w:p>
    <w:p>
      <w:r>
        <w:t xml:space="preserve"> </w:t>
      </w:r>
    </w:p>
    <w:p>
      <w:pPr>
        <w:pStyle w:val="Heading2"/>
      </w:pPr>
      <w:r>
        <w:t>Risk Factors And Limitations</w:t>
      </w:r>
    </w:p>
    <w:p>
      <w:r>
        <w:t>Technical and biological risks:</w:t>
        <w:br/>
        <w:t>- Microdialysis failure: probe placement, low recovery, inflammation around probe may bias Kp,uu; fallback (tissue homogenate binding + PBPK) has higher uncertainty.</w:t>
        <w:br/>
        <w:t>- Assay variability: cross-lab differences for p-AKT assays and LC-MS/MS can cause inconsistent PD readouts. "p-AKT Ser473" is a phosphorylated protein measurement; it requires fast tissue handling and validated antibodies or MS methods.</w:t>
        <w:br/>
        <w:t>- Compound supply and purity: limited isosativan quantity or impurities may prevent full studies; semi-synthesis may be slow.</w:t>
        <w:br/>
        <w:t>- Metabolites and reactive species: unknown metabolites may be active or toxic; reactive metabolites may cause safety signals unrelated to target mechanism.</w:t>
        <w:br/>
        <w:t>- Model variability: HFD/STZ induces variable diabetes severity; high variance can reduce power and complicate interpretation.</w:t>
        <w:br/>
        <w:t>- Sex and strain generalization: results in Sprague-Dawley rats may not translate to other strains, sexes, or humans; both sexes add complexity and may require larger N for sex-stratified inference.</w:t>
        <w:br/>
        <w:t>- Dose/exposure uncertainty: in vitro EC50 may not predict in vivo PD; target free multiples (10–30×) may not be achievable without toxicity.</w:t>
        <w:br/>
        <w:t>- AAV and genetic tools: AAV production may be delayed or produce variable expression; ineffective knockdown/overexpression undermines mechanistic tests.</w:t>
        <w:br/>
        <w:t>- Scaling and translation limits: even if mTORC2/AKT modulation is confirmed in rats, human pharmacokinetics, metabolism, and safety may differ materially.</w:t>
        <w:br/>
        <w:br/>
        <w:t>Evaluation biases and limits:</w:t>
        <w:br/>
        <w:t>- Observer bias in histology and functional tests if blinding fails.</w:t>
        <w:br/>
        <w:t>- Missing data from humane endpoints or assay failures may reduce effective sample size.</w:t>
        <w:br/>
        <w:t>- Statistical limitations: multiple endpoints increase false positive risk if not controlled.</w:t>
        <w:br/>
        <w:br/>
        <w:t>Computational and resource limits:</w:t>
        <w:br/>
        <w:t>- NLME PK/PD modelling requires adequate sample density and computational expertise; limited data may produce poorly identified models.</w:t>
        <w:br/>
        <w:t>- High-cost assays (phosphopeptide LC-MS/MS, AAV vectors, MRI) may constrain sample throughput and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