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user_specific_dp_explainability</w:t>
      </w:r>
    </w:p>
    <w:p>
      <w:r>
        <w:t xml:space="preserve"> </w:t>
      </w:r>
    </w:p>
    <w:p>
      <w:pPr>
        <w:pStyle w:val="Heading2"/>
      </w:pPr>
      <w:r>
        <w:t>Title</w:t>
      </w:r>
    </w:p>
    <w:p>
      <w:r>
        <w:t>Differential-privacy calibrated explainers for user-specific explainability in clinical domestic AI systems</w:t>
      </w:r>
    </w:p>
    <w:p>
      <w:r>
        <w:t xml:space="preserve"> </w:t>
      </w:r>
    </w:p>
    <w:p>
      <w:pPr>
        <w:pStyle w:val="Heading2"/>
      </w:pPr>
      <w:r>
        <w:t>Short Hypothesis</w:t>
      </w:r>
    </w:p>
    <w:p>
      <w:r>
        <w:t>Applying differential privacy with total epsilon ≤ 0.1 split 70%/30% between model training and explanation channels, combined with bounded explainer output clipping and L1 scalarization of top-K attributions, will reduce membership-inference advantage by at least 1 percentage point compared to no privacy while keeping explanation fidelity ≥ 0.99 and stability ≥ 0.95 for high-risk clinical decisions.</w:t>
      </w:r>
    </w:p>
    <w:p>
      <w:r>
        <w:t xml:space="preserve"> </w:t>
      </w:r>
    </w:p>
    <w:p>
      <w:pPr>
        <w:pStyle w:val="Heading2"/>
      </w:pPr>
      <w:r>
        <w:t>Related Work</w:t>
      </w:r>
    </w:p>
    <w:p>
      <w:r>
        <w:t>Existing explainability methods (local feature attribution methods such as SHAP and LIME, and counterfactual explanation generators) provide interpretable outputs but do not jointly optimize for formal privacy guarantees or risk-tiered legal targets. Prior privacy work in machine learning applies differential privacy (DP) primarily to model training; fewer studies add DP to the explanation channel. Attack literature (membership inference, model inversion, reconstruction) shows explainers can leak training data, but most threat models assume simple black-box attackers without rich auxiliary data or stateful session linkage. Evaluation practices use fidelity (agreement between model and explainer) and stability (consistency under small input changes) but lack standardized scalarization, sensitivity bounds, per-decision vs per-user DP semantics, and reproducible red-team suites. Operational work prescribes CI/CD gating and tamper-evident logs, yet integration of HCI metrics, legal risk tiers, and empirical DP–explainability trade-offs remains incomplete. Limitations in prior work include sparse empirical quantification of how DP noise and clipping degrade explanation quality, weak adversary realism, and limited subgroup-power analyses.</w:t>
      </w:r>
    </w:p>
    <w:p>
      <w:r>
        <w:t xml:space="preserve"> </w:t>
      </w:r>
    </w:p>
    <w:p>
      <w:pPr>
        <w:pStyle w:val="Heading2"/>
      </w:pPr>
      <w:r>
        <w:t>Abstract</w:t>
      </w:r>
    </w:p>
    <w:p>
      <w:r>
        <w:t>We address how to make user-specific explanations for clinical domestic AI systems (health wearables and household robots) both privacy-preserving and legally aligned under risk tiers. We propose an empirical study that applies differential privacy not only to model training but also to the explanation channel, using bounded output clipping and explicit scalarization of explainer vectors (e.g., L1 on top-K attributions). The main contribution is an evaluation kit that quantifies the trade-offs between privacy (measured by membership-inference advantage and AUC), explanation quality (fidelity and stability), latency, and legal risk tiers. The kit includes reproducible synthetic generators, adversary profiles with auxiliary data levels, DP-accountant composition scripts, and pre-registered statistical tests. Expected outcomes are measured curves that map epsilon budgets, clipping, and scalarization to utility and leakage, concrete attack-success plots versus query budgets, and validated pass/fail criteria for CI/CD gating. This will produce actionable, auditable guidance for deploying user-specific explainers under legal and engineering constraints.</w:t>
      </w:r>
    </w:p>
    <w:p>
      <w:r>
        <w:t xml:space="preserve"> </w:t>
      </w:r>
    </w:p>
    <w:p>
      <w:pPr>
        <w:pStyle w:val="Heading2"/>
      </w:pPr>
      <w:r>
        <w:t>Experiments</w:t>
      </w:r>
    </w:p>
    <w:p>
      <w:r>
        <w:t>Datasets: 1) Public clinical EHR dataset (MIMIC-III or PhysioNet ICU traces) for diagnosis/triage tasks; 2) Public wearable activity dataset (e.g., PhysioNet wearable signals) for health-state detection; 3) Synthetic domestic-robot interaction logs with provenance-controlled variability (seeded generator). Preprocessing: standardize features, define high-risk decision labels, and produce held-out evaluation sets of 5,000–10,000 decisions per domain for fidelity/stability tests. Baselines: A) no-explainer (control); B) standard SHAP; C) standard LIME; D) counterfactual generator (minimal-edit recourse); E) SHAP/LIME with DP applied only to training; F) SHAP/LIME with DP applied to explanation outputs. DP settings and ablations: ε ∈ {0.01,0.1,1,8}, ε split ratios {70/30,50/50,90/10}, clipping thresholds for attribution magnitudes (three levels), scalarization functions {L1 on top-K, L2, normalized top-K sum}. Attacker models and ablations: black-box query budgets {1k,10k,100k}, adaptive stateful attackers that link session queries, and auxiliary-data coverage levels {0%,25%,75%} (auxiliary data = partial EHR or demographics with noise). Implement attacks: membership inference classifier (AUC, advantage = TPR−FPR), model inversion reconstructor (MSE), attribute inference (accuracy), and extraction via surrogate training. Evaluation metrics: Fidelity = agreement proportion p̂ with 95% Clopper–Pearson CI; Stability = mean pairwise Spearman rank correlation over m=30 perturbations with bootstrap CI (B=1000); Privacy leakage = membership advantage with bootstrap CI; AUC for adversary classifiers; reconstruction MSE; latency median and 95th percentile; recourse feasibility = fraction of generated counterfactuals requiring feasible edits. Experimental setup: run each explainer+DP configuration 10 seeds, report mean and 95% CI; red-team experiments use at least 10,000 attack queries per configuration when feasible. Ablation studies: (1) vary ε while holding split fixed; (2) vary split with fixed ε=0.1; (3) vary clipping levels and scalarization choice; (4) vary attacker auxiliary-data coverage. Pass/fail criteria: for high-risk tasks require lower 95% CI of fidelity ≥0.99 and stability ≥0.95 while membership advantage ≤ baseline +1%; CI/CD gating emulator will simulate daily sampling N=2,000 and trigger rollback if criteria violated.</w:t>
      </w:r>
    </w:p>
    <w:p>
      <w:r>
        <w:t xml:space="preserve"> </w:t>
      </w:r>
    </w:p>
    <w:p>
      <w:pPr>
        <w:pStyle w:val="Heading2"/>
      </w:pPr>
      <w:r>
        <w:t>Risk Factors And Limitations</w:t>
      </w:r>
    </w:p>
    <w:p>
      <w:r>
        <w:t>DP utility loss: adding DP noise and clipping can reduce explanation fidelity and stability below required thresholds, especially at small ε; results may show sharp utility drops for some explainers. Adversary realism: simulated auxiliary data and stateful attackers may not capture all real-world attacker capabilities (e.g., linked registries, insider access), so measured leakage could underestimate worst-case risk. Side channels: timing, response size, and error-message leaks are hard to emulate fully and may enable attacks beyond output-based measures. Sample-size and power: subgroup analyses need large labeled samples per subgroup (thousands) which may be unavailable; small groups will yield wide CIs. Compute and latency: DP-calibrated explainers and red-team suites increase compute cost and may violate low-latency constraints for online high-risk explanations. Domain shift: synthetic generators and public datasets may not reflect private domestic-device distributions, limiting external validity. Legal heterogeneity: jurisdictional rules (GDPR vs. other regimes) and clinical data retention requirements vary and may limit direct applicability. HCI variability: user comprehension and recourse feasibility depend on literacy and context and may not generalize from lab studies to long-term 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