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microbiome_bile_acid_islet_autoimmunity</w:t>
      </w:r>
    </w:p>
    <w:p>
      <w:r>
        <w:t xml:space="preserve"> </w:t>
      </w:r>
    </w:p>
    <w:p>
      <w:pPr>
        <w:pStyle w:val="Heading2"/>
      </w:pPr>
      <w:r>
        <w:t>Title</w:t>
      </w:r>
    </w:p>
    <w:p>
      <w:r>
        <w:t>Longitudinal targeted bile acid metabolomics and strain-resolved metagenomics to predict and mechanistically link early-life microbiome-derived bile acids with islet autoimmunity</w:t>
      </w:r>
    </w:p>
    <w:p>
      <w:r>
        <w:t xml:space="preserve"> </w:t>
      </w:r>
    </w:p>
    <w:p>
      <w:pPr>
        <w:pStyle w:val="Heading2"/>
      </w:pPr>
      <w:r>
        <w:t>Short Hypothesis</w:t>
      </w:r>
    </w:p>
    <w:p>
      <w:r>
        <w:t>Higher early-life fecal exposure (area-under-curve from months 3–12) to specific secondary and sulfated bile acids (notably DCA and sulfated-DCA) increases the hazard of islet autoantibody seroconversion by 36 months through modulation of innate and adaptive immune responses.</w:t>
      </w:r>
    </w:p>
    <w:p>
      <w:r>
        <w:t xml:space="preserve"> </w:t>
      </w:r>
    </w:p>
    <w:p>
      <w:pPr>
        <w:pStyle w:val="Heading2"/>
      </w:pPr>
      <w:r>
        <w:t>Related Work</w:t>
      </w:r>
    </w:p>
    <w:p>
      <w:r>
        <w:t>Prior studies have associated gut microbiome composition and bile acid profiles with later autoimmunity risk, using cross-sectional stool metabolomics or taxonomic 16S surveys. Existing approaches often lack dense early-life longitudinal sampling, limited detection of microbially conjugated (sulfated) bile acids, and do not map bile-acid-transforming genes to strains. Many analyses use single-timepoint or compositional taxon summaries rather than modeling repeated metabolite trajectories or gene abundance slopes. Immune work has largely been correlative with limited ex vivo functional testing at physiologic pediatric bile acid levels. Bioinformatic pipelines for bai/BSH genes frequently lack validated HMMs, spike-in validation, or clear thresholds for low-biomass contamination. These gaps limit causal interpretation and reproducibility and leave unresolved whether specific microbially produced bile acids causally alter immune pathways that lead to islet autoimmunity.</w:t>
      </w:r>
    </w:p>
    <w:p>
      <w:r>
        <w:t xml:space="preserve"> </w:t>
      </w:r>
    </w:p>
    <w:p>
      <w:pPr>
        <w:pStyle w:val="Heading2"/>
      </w:pPr>
      <w:r>
        <w:t>Abstract</w:t>
      </w:r>
    </w:p>
    <w:p>
      <w:r>
        <w:t>We test whether specific microbially derived bile acids in infant stool predict and mechanistically link to islet autoimmunity. We will longitudinally quantify targeted bile acids, including secondary and sulfated species, from 3–36 months and pair these measures with strain-resolved metagenomics and immune phenotyping. Primary analysis will use area-under-curve (AUC) of fecal DCA and sulfated-DCA from months 3–12 to predict time-to-islet-autoantibody seroconversion via time-varying Cox models, and will test mediation by longitudinal slopes of bai-operon gene abundance (7alpha-dehydroxylation genes). Laboratory contributions include validated LC-MS/MS assays for sulfated bile acids and metagenomic pipelines that map bai/BSH genes to metagenome-assembled genomes with spike-in validation. Ex vivo immune assays will probe monocyte and T cell responses to physiologic bile acid concentrations. Main contributions are (1) a reproducible longitudinal multi-omic framework for infant bile acid–microbiome studies, (2) validated detection of sulfated microbially conjugated bile acids and strain-level gene mapping, and (3) evidence linking early-life bile acids to immune modulation relevant to islet autoimmunity risk.</w:t>
      </w:r>
    </w:p>
    <w:p>
      <w:r>
        <w:t xml:space="preserve"> </w:t>
      </w:r>
    </w:p>
    <w:p>
      <w:pPr>
        <w:pStyle w:val="Heading2"/>
      </w:pPr>
      <w:r>
        <w:t>Experiments</w:t>
      </w:r>
    </w:p>
    <w:p>
      <w:r>
        <w:t>Cohort and samples: enroll 600–800 infants enriched for high-risk HLA (target event rate 12–15% seroconversion by 36 months). Collect stool at 1 week, 3, 6, 9, 12, 18, 24, 36 months; blood/DBS for autoantibodies at same windows; selected PBMCs at 1 week, 3, 6, 12 months and at seroconversion; maternal breastmilk when available. Omics assays: targeted LC-MS/MS for a panel of free, glycine/taurine-conjugated, and sulfated bile acids (report LOD/LOQ per matrix; matrix-matched calibrators); shotgun metagenomic sequencing with host removal, require ≥5e6 non-host reads for assembly and ≥1e6 for read-based profiling; 16S qPCR for total bacterial load (flag &lt;1e5 copies/g). Gene mapping: assemble (metaSPAdes), bin (MetaBAT2+MaxBin2, DAS Tool), dereplicate (dRep 95% ANI), gene-calling (Prodigal) and HMM-based annotation for bai and bsh genes; read mapping with ≥95% identity and ≥80% coverage. Immune assays: flow cytometry for Treg (CD4+FOXP3+), activated monocytes (CD14+HLA-DR/CD86), cytokines (IL-6, IL-10, IL-17A, IFN-γ, TNF-α); ex vivo PBMC and sorted cell stimulations with DCA/LCA/UDCA and sulfated species at 0.01–50 μM physiological ranges; measure cytokine release and Treg induction. Statistical models and baselines: primary models: time-varying Cox proportional hazards (PH) using BA AUCs (3–12 months) predicting time-to-seroconversion (baseline covariates: age, sex, HLA risk, delivery mode, maternal antibiotics, infant antibiotics, feeding, site, batch); longitudinal mixed-effects models for BA trajectories (random intercepts/slopes, age splines) and marginal structural models with inverse probability weights (IPW) and g-computation for mediation via bai gene slopes. Baselines: (A) cross-sectional logistic regression at single timepoint (6 months) using same covariates; (B) taxonomic-only models (no gene mapping); (C) immune-phenotype-only models. Evaluation metrics: concordance index (C-index) for time-to-event discrimination, hazard ratios (HR) with 95% CI and Wald p-values, proportion mediated (percent indirect effect) with bootstrap CI, area under receiver-operating curve (AUROC) for nested case–control classification, RMSE of fitted BA trajectories, assay QC metrics (intra-batch CV &lt;20%, inter-batch CV &lt;25%), sensitivity/specificity for gene detection from spike-ins. Validation and ablation: internal nested 1:3 matched case-control (match on age, sex, site, HLA), external validation cohort with ≥50 cases+150 controls where available. Ablation studies: (1) remove sulfated BA measurements to quantify predictive contribution; (2) remove bai operon mapping and use taxon-level features only; (3) compare censored-regression (Tobit/Bayesian) handling of below-LOQ values vs simple substitution (LOD/√2) to assess bias; (4) limit metagenomes to read-based profiling (simulate low-biomass) to test robustness. Pre-specified QC decision rules: exclude metagenomes with &gt;25% host reads or poor library complexity; flag samples with 16S qPCR &lt;1e5 copies/g for restricted analyses. Reporting: preregister parameter table for simulations (SDs, ICCs, baseline hazard, censoring), full model formulas, and predefined multiplicity family and alpha allocations.</w:t>
      </w:r>
    </w:p>
    <w:p>
      <w:r>
        <w:t xml:space="preserve"> </w:t>
      </w:r>
    </w:p>
    <w:p>
      <w:pPr>
        <w:pStyle w:val="Heading2"/>
      </w:pPr>
      <w:r>
        <w:t>Risk Factors And Limitations</w:t>
      </w:r>
    </w:p>
    <w:p>
      <w:r>
        <w:t>Low event rate: even with enrichment, seroconversion may be fewer than expected, reducing power. Low-biomass contamination: infant stool may have low DNA and yield false positives or loss of assembly-level resolution. Assay limits: sulfated bile acid standards may be unavailable or costly, increasing measurement uncertainty and LOD/LOQ variability. Sample degradation: bile acids and RNA/protein in PBMCs can degrade with delayed processing, biasing results. Confounding and unmeasured variables: residual confounding (e.g., unmeasured maternal exposures) may limit causal claims from observational mediation. Bioinformatic misclassification: homologous genes may be mis-annotated as bai/BSH without long contigs or synteny context, reducing specificity. Statistical model assumptions: Cox PH or IPW models may be violated (non-proportional hazards, model misspecification), affecting inference. Generalizability: results from HLA-enriched infants may not generalize to general population. Computational scale: assembly and strain-level mapping for hundreds of longitudinal metagenomes require substantial CPU, memory, and storage. Missing data: non-random missingness (MNAR) in follow-up or sample return can bias longitudinal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