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asean_mobility_panel_regression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Panel-data regression analysis of community mobility effects on weekly COVID-19 cases in ASEAN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Reductions in community mobility cause a decrease in weekly confirmed COVID-19 cases per 100,000 population in ASEAN countries, with the primary effect concentrated in the 7–21 day lag window.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studies estimate associations between mobility and COVID-19 using panel regressions, distributed-lag models, and event studies. Approaches vary by mobility source (Google, Apple, Meta), exposure aggregation (single venue series versus composite indices), lag choices, and standard-error corrections. Common limitations are (1) endogeneity and reverse causality where rising cases or policy responses drive mobility changes, (2) measurement error from single-source mobility proxies, (3) inconsistent lag windows that reduce comparability, (4) weak or untested instruments for causal identification, (5) inadequate handling of cross-sectional dependence and spatial spillovers, and (6) incomplete reproducibility (missing ETL/versioning and imputation transparency). Few studies combine measurement-error correction (SIMEX), rigorous imputation (MICE), spatial econometrics, and a clear decision tree for estimator selection and causal language.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how changes in community mobility affected weekly confirmed COVID-19 cases across ASEAN countries using country-week panel data from 15 Feb 2020 to 13 Oct 2022. We construct a validated composite mobility exposure from Google, Apple, and Meta via principal component analysis and apply fixed-effects distributed-lag models (0–28 days, primary inference 7–21 days) to estimate cumulative effects. To support causal claims we pre-register instrument tests using exogenous weather shocks and holiday/abrupt-policy dates, apply SIMEX to correct mobility measurement error, and use multiple imputation (MICE) for missing country-weeks. We evaluate spatial dependence with Pesaran CD and report spatial-lag model results where appropriate. Main contributions are (1) a reproducible pipeline integrating mobility composite validation, measurement-error correction, and imputation; (2) a transparent decision tree for estimator and SE choices; and (3) robust estimates of timing and magnitude of mobility effects across vaccination and variant periods. Expected outcome: clear, comparable effect estimates that inform timing of mobility-focused interventions.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weekly country-level series for 10 ASEAN members (Brunei, Cambodia, Indonesia, Laos, Malaysia, Myanmar, Philippines, Singapore, Thailand, Vietnam) from 2020-02-15 to 2022-10-13: WHO confirmed cases and deaths, tests and positivity (where available), vaccination coverage (Our World in Data), Google Mobility, Apple mobility trends, Meta mobility aggregates, ERA5/CHIRPS weather (precipitation anomalies and temperature extremes), national holiday and abrupt-policy date registry, NPI timelines (standardized stringency index). Preprocessing: aggregate to country-week, flag and impute missing values with MICE (m=20) including lagged predictors, season, NPIs, vaccination; construct PCA mobility composite on standardized venue series, retain PC1 if explained variance &gt;50% (fallback: CFA and venue-weighted average if &lt;50%). Primary model: two-way fixed effects log(cases_per100k) with distributed lags Σ_{k=0}^{28} β_k Mobility_{t−k}, country and calendar-week fixed effects, covariates X include log(tests_per100k), vaccination lags, variant epoch dummies, NPI indices. Primary inference: test cumulative C_{7–21}=Σ_{k=7}^{21} β_k. Baselines and alternatives: (A) FE+DLNM baseline with cluster-robust SE by country (small-sample correction); (B) Poisson conditional FE with population offset; (C) IV estimators (2SLS, LIML, Fuller) using weather anomalies and holiday shocks as instruments; (D) spatial models (SDM/SAR) with geographic and travel-based weights; (E) FE without SIMEX or without MICE to assess bias. Evaluation metrics: estimate and 95% CI for C_{7–21}, p-value, first-stage F-statistic and partial R2, Hansen J p-value, Pesaran CD p-value, bootstrap CI coverage, out-of-sample prediction RMSE, placebo-test bias (lead mobility on future cases), and Oster-style sensitivity bounds for unobserved confounding. Ablations: (1) remove SIMEX to measure attenuation; (2) replace composite with single-source mobility series; (3) vary lag windows (0–14, 0–21, 0–28); (4) exclude country-weeks with imputed outcomes; (5) run dynamic-panel estimator (Arellano–Bond) when T and N permit. Decision rules: require joint lead-test p&gt;0.05 (Bonferroni-corrected) to use causal language; require first-stage F&gt;10 and Hansen p&gt;0.05 to report IV causal estimates; if Pesaran CD p&lt;0.05 use Driscoll–Kraay SEs and spatial models. Uncertainty propagation: per-imputation SIMEX then Rubin pooling, bootstrap B=200 (B=500 preferred) across pooled estimates.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weak instruments (first-stage F&lt;10) may prevent causal IV identification; SIMEX assumes classical measurement error and may miscorrect if mobility error structure is nonclassical. Data biases: heterogeneous testing regimes and incomplete testing data will bias case counts; vaccine and variant timing may be mismeasured where sequencing coverage is low. Spatial and dynamic complexity: unmodeled cross-border travel or rapid policy shifts can create spillovers that violate model assumptions. Model choice limits: overdispersion or zero-inflation may invalidate log-linear or Poisson FE assumptions in some country-weeks. Sample size and power: limited independent units (N=10 countries) constrain subgroup inference and GMM dynamical estimators. Reproducibility/legal: proprietary mobility data licenses may restrict public release of derived indicators; redaction will limit transparency. Generalization: results apply to ASEAN country-weeks during 2020–2022 and may not generalize to other regions, later variants, or different policy contexts.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