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mtorc1_ilc2_nmur1_epigenetic</w:t>
      </w:r>
    </w:p>
    <w:p>
      <w:r>
        <w:t xml:space="preserve"> </w:t>
      </w:r>
    </w:p>
    <w:p>
      <w:pPr>
        <w:pStyle w:val="Heading2"/>
      </w:pPr>
      <w:r>
        <w:t>Title</w:t>
      </w:r>
    </w:p>
    <w:p>
      <w:r>
        <w:t>Inducible genetic and pharmacologic dissection of mTORC1-dependent epigenetic regulation of NMUR1 in lung ILC2s during allergic airway inflammation</w:t>
      </w:r>
    </w:p>
    <w:p>
      <w:r>
        <w:t xml:space="preserve"> </w:t>
      </w:r>
    </w:p>
    <w:p>
      <w:pPr>
        <w:pStyle w:val="Heading2"/>
      </w:pPr>
      <w:r>
        <w:t>Short Hypothesis</w:t>
      </w:r>
    </w:p>
    <w:p>
      <w:r>
        <w:t>Activation of mTORC1 in lung group 2 innate lymphoid cells (ILC2s) increases NMUR1 expression through epigenetic reprogramming, which enhances ILC2 responsiveness to neuromedin U and causally amplifies type 2 allergic lung inflammation.</w:t>
      </w:r>
    </w:p>
    <w:p>
      <w:r>
        <w:t xml:space="preserve"> </w:t>
      </w:r>
    </w:p>
    <w:p>
      <w:pPr>
        <w:pStyle w:val="Heading2"/>
      </w:pPr>
      <w:r>
        <w:t>Related Work</w:t>
      </w:r>
    </w:p>
    <w:p>
      <w:r>
        <w:t>Previous studies show mTORC1 controls translation and metabolic programs in immune cells, and separate work shows neuromedin U (NMU) activates ILC2s via NMUR1 to drive type 2 cytokine release. Existing approaches use either pharmacologic mTOR inhibitors or constitutive genetic knockouts to probe mTORC1, and some studies profile ILC2 responses to neuronal peptides by bulk readouts. Limitations: (1) developmental versus acute roles of mTORC1 in ILC2s are not separated because inducible, cell-restricted perturbations were not consistently used; (2) regulation of NMUR1 expression at the epigenetic level in ILC2s is not well defined; (3) causal neuron→ILC2 links often rely on peptide application rather than neuron-specific activation or anatomical mapping; (4) evidence rarely combines orthogonal genetic and pharmacologic convergence with rescue experiments to prove specificity; (5) translation-level readouts (ribosome profiling, SUnSET) and single-cell chromatin accessibility at the receptor locus are understudied. These gaps limit mechanistic and translational inference.</w:t>
      </w:r>
    </w:p>
    <w:p>
      <w:r>
        <w:t xml:space="preserve"> </w:t>
      </w:r>
    </w:p>
    <w:p>
      <w:pPr>
        <w:pStyle w:val="Heading2"/>
      </w:pPr>
      <w:r>
        <w:t>Abstract</w:t>
      </w:r>
    </w:p>
    <w:p>
      <w:r>
        <w:t>Allergic airway inflammation involves crosstalk between sensory neurons and group 2 innate lymphoid cells (ILC2s). We will test whether mTORC1 signaling in lung ILC2s epigenetically licenses expression of the NMU receptor (NMUR1), increasing ILC2 sensitivity to neuronal NMU and driving type 2 inflammation. We will use inducible ILC2-specific genetic perturbation (Raptor flox with RoraCreER/Il5-CreER/Il7r-CreER), pharmacologic mTORC1 inhibition (rapamycin and ATP-competitive inhibitors), and rescue arms (Rheb overexpression, 4E-BP1/2 deletion) together with neuron-targeted manipulations (Nav1.8/NMU Cre-based chemogenetics/optogenetics). Readouts include phospho-flow (pS6), SUnSET translation assay, RiboTag ribosome profiling, scRNA+scATAC to measure NMUR1 expression and chromatin accessibility, and physiological endpoints (per-cell IL-5/IL-13, BAL eosinophils). Main contribution: a causal, multi-level demonstration that mTORC1-driven epigenetic changes control NMUR1 and thereby gate neuro-immune amplification in allergic lung disease. Expected outcome: definitive molecular pathway linking mTORC1 to NMUR1 regulation in ILC2s and prioritized targets/biomarkers for translational studies.</w:t>
      </w:r>
    </w:p>
    <w:p>
      <w:r>
        <w:t xml:space="preserve"> </w:t>
      </w:r>
    </w:p>
    <w:p>
      <w:pPr>
        <w:pStyle w:val="Heading2"/>
      </w:pPr>
      <w:r>
        <w:t>Experiments</w:t>
      </w:r>
    </w:p>
    <w:p>
      <w:r>
        <w:t>Datasets and cohorts: murine: adult male and female C57BL/6 mice and conditional lines (Raptor flox, Rosa26-LSL-Rheb, 4E-BP1/2 flox, NMUR1 flox or KO; RoraCreER, Il5-CreER, Il7r-CreER; Nav1.8-Cre or NMU-Cre for neurons). Allergic models: house dust mite (HDM) intranasal challenge for multi-day allergic inflammation and IL-33 intranasal administration for acute activation. Human: bronchoscopy BAL and ILC2 enrichment from three groups: eosinophilic asthma, non-eosinophilic asthma, healthy controls (pilot n=10/group; powered n=30/group for cellular endpoints). Biological replicate rules: one mouse or one human subject = one biological unit; pooling allowed only when predeclared (3–6 mice per pool treated as 1 replicate). Primary and secondary endpoints (preregistered): primary cellular endpoints: %pS6+ ILC2 by phospho-flow at 30 min post NMU stimulation; per-cell IL-5 production by intracellular staining at 24 h; BAL eosinophil count at peak challenge. Secondary endpoints: SUnSET puromycin mean fluorescence intensity (MFI) at 4–6 h; RiboTag-translated mRNA abundance at 4–6 h; NMUR1 transcript per cell (scRNA) and locus accessibility (scATAC) at 6–24 h. Baselines and controls: wild-type vehicle-treated controls, tamoxifen-only controls, isotype antibody controls for flow, NMUR1 KO or NMUR1 antibody peptide-block controls, pharmacologic vehicle controls. Perturbations and arms: (A) Pharmacologic: rapamycin in vivo brief course (3–7 days) and ex vivo Torin1/AZD8055 (100 nM) windows (30 min–24 h). (B) Genetic loss-of-function: inducible Raptor deletion via CreER with tamoxifen 5 days then 7–14 day washout. (C) Rescue arms: Rosa26-LSL-Rheb induction or AAV-Il5-Rheb; 4E-BP1/2 double KO. (D) Neuronal manipulations: Nav1.8-Cre DREADD activation (CNO) or optogenetic stimulation in precision-cut lung slices; exogenous NMU peptide dose-response (10 pM–1 µM). (E) NMUR1 specificity: NMUR1 antagonist or conditional NMUR1 KO in ILC2s. Readouts and assays: flow cytometry panels to identify ILC2s (Lin-CD45+CD127+ST2+), phospho-flow for pS6 (Ser235/236) and p4EBP1; intracellular cytokine staining for IL-5/IL-13 and ELISA of supernatants; SUnSET puromycin incorporation measured by flow (translation proxy); RiboTag IP followed by RNA-seq (ribosome-associated transcripts); scRNA + scATAC or CITE-seq from sorted ILC2-enriched populations (4–6 biological replicates per condition); ligand binding assays using fluorescent NMU for receptor occupancy. Imaging: RNAscope for NMUR1 and NMU; multiplex immunofluorescence and 3D confocal of neuron-ILC2 proximity. Sample sizes and power: murine cytokine readouts n=10 mice/group; pS6 and proliferation n=8–10/group; BAL eosinophilia n=10–12/group; scRNA scATAC 4–6 biological replicates per condition (3k–5k ILC2-enriched cells per replicate). Human pilot n=10/group then n=30/group for cellular endpoints. Statistical analysis: mixed-effects models with mouse/subject as random intercept, treatment/time as fixed effects; two-sided tests, alpha=0.05, multiple testing controlled by Benjamini-Hochberg FDR where applicable. Preplanned comparisons and ablations: (1) Genetic vs pharmacologic convergence: inducible Raptor KO versus rapamycin and Torin1; (2) Rescue ablation: Rheb OE and 4E-BP1/2 DKO to test translation-dependent rescue; (3) Receptor specificity ablation: NMUR1 KO/antagonist versus vehicle; (4) Neuron versus peptide: Nav1.8 neuronal activation versus exogenous NMU to test source specificity. Timepoints: pS6 5, 15, 30, 60 min; SUnSET 2–6 h and 24 h; RiboTag 4–6 h; cytokines 24–48 h; scRNA/scATAC 6–24 h. Outcome metrics: %pS6+ ILC2, per-cell IL-5/IL-13 MFI and percent positive, BAL eosinophils per mL, SUnSET MFI, normalized ribosome-associated transcript counts, NMUR1 transcripts per cell and scATAC peak accessibility score at Nmur1 locus, scRNA cluster frequencies. Success criteria: reproducible increase in NMUR1 expression and accessibility in WT with active mTORC1 that is lost after Raptor deletion and restored by Rheb OE, with commensurate changes in translation and cytokine outputs; neuronal activation increases these readouts in an NMUR1-dependent manner.</w:t>
      </w:r>
    </w:p>
    <w:p>
      <w:r>
        <w:t xml:space="preserve"> </w:t>
      </w:r>
    </w:p>
    <w:p>
      <w:pPr>
        <w:pStyle w:val="Heading2"/>
      </w:pPr>
      <w:r>
        <w:t>Risk Factors And Limitations</w:t>
      </w:r>
    </w:p>
    <w:p>
      <w:r>
        <w:t>Antibody and reagent specificity: NMUR1 protein detection may fail if antibodies lack specificity or sensitivity; RNAscope probe and KO controls needed. Low cell yield: lung ILC2s are rare; single-cell and proteomic assays may require pooling (reduces biological resolution). Off-target genetic effects: CreER leakiness and tamoxifen effects (tamoxifen-only controls required); dTAG/rapalog ligands may have off-targets. Compensation and timing: long post-deletion intervals can cause compensatory pathways that mask direct effects; acute degron and short washouts reduce but do not eliminate this risk. Species differences: mouse findings may not translate to human ILC2 biology or NMUR1 regulation. Neuronal manipulations: viral transduction or DREADD/CNO may affect non-target cells or produce systemic effects. Statistical power assumptions: effect sizes and variances from pilot data may differ; underpowered negative results risk false negatives. scATAC and RiboTag interpretation: chromatin accessibility does not prove causality for expression; ribosome-associated RNA is a proxy for translation but may not reflect protein abundance. Ethical and logistical constraints: human bronchoscopy cohort recruitment, steroid/biologic washout, and sample handling may limit cohort size or introduce bias. Computational and batch effects: single-cell multi-omic experiments require careful batch correction; incorrect correction can create false signals.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