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carmen_febrile_multiplex_dl</w:t>
      </w:r>
    </w:p>
    <w:p>
      <w:r>
        <w:t xml:space="preserve"> </w:t>
      </w:r>
    </w:p>
    <w:p>
      <w:pPr>
        <w:pStyle w:val="Heading2"/>
      </w:pPr>
      <w:r>
        <w:t>Title</w:t>
      </w:r>
    </w:p>
    <w:p>
      <w:r>
        <w:t>Deep‑learning–designed CARMEN CRISPR panels for multiplexed detection of 23 febrile pathogens across hemorrhagic, mosquito‑borne, and sexually transmitted infections</w:t>
      </w:r>
    </w:p>
    <w:p>
      <w:r>
        <w:t xml:space="preserve"> </w:t>
      </w:r>
    </w:p>
    <w:p>
      <w:pPr>
        <w:pStyle w:val="Heading2"/>
      </w:pPr>
      <w:r>
        <w:t>Short Hypothesis</w:t>
      </w:r>
    </w:p>
    <w:p>
      <w:r>
        <w:t>Deep‑learning optimization of CRISPR guide sets combined with CARMEN microfluidic droplet arrays and targeted pre‑amplification will increase per‑target diagnostic sensitivity to ≥95% and specificity to ≥99% (at specified limits of detection) compared with standard comparator assays on the same clinical sample sets.</w:t>
      </w:r>
    </w:p>
    <w:p>
      <w:r>
        <w:t xml:space="preserve"> </w:t>
      </w:r>
    </w:p>
    <w:p>
      <w:pPr>
        <w:pStyle w:val="Heading2"/>
      </w:pPr>
      <w:r>
        <w:t>Related Work</w:t>
      </w:r>
    </w:p>
    <w:p>
      <w:r>
        <w:t>Existing methods include singleplex and small‑plex RT‑qPCR assays, commercial multiplex panels (e.g., syndromic PCR panels) and CRISPR‑based diagnostics that use Cas12/Cas13 collateral cleavage for nucleic acid detection. The CARMEN platform demonstrated high multiplex capacity using microfluidic droplets, but prior implementations faced challenges: design of many guides was manual or heuristic (limiting on‑target sensitivity and single‑nucleotide discrimination), pre‑amplification across many targets can be non‑uniform (causing bias), cross‑reactivity and near‑neighbor specificity have required extensive empirical screening, and droplet/index hopping contamination reduced accuracy at high plex. Bioinformatic deconvolution methods exist but often lack calibrated posterior thresholds tied to clinical outcomes and read‑depth/UMI (unique molecular identifier) tradeoffs. Regulatory and scale‑up pathways for droplet multiplex assays remain incompletely addressed.</w:t>
      </w:r>
    </w:p>
    <w:p>
      <w:r>
        <w:t xml:space="preserve"> </w:t>
      </w:r>
    </w:p>
    <w:p>
      <w:pPr>
        <w:pStyle w:val="Heading2"/>
      </w:pPr>
      <w:r>
        <w:t>Abstract</w:t>
      </w:r>
    </w:p>
    <w:p>
      <w:r>
        <w:t>Febrile illnesses caused by diverse pathogens are hard to diagnose rapidly when many agents must be considered. We propose to develop three CARMEN (CRISPR‑based combinatorial arrayed reactions) panels—hemorrhagic, mosquito‑borne, and sexually transmitted infection panels—that collectively test for 23 pathogens. We will use deep learning to design and prioritize CRISPR guide sets (guide RNAs are short sequences that direct Cas enzymes to targets) for high sensitivity and single‑nucleotide discrimination, and implement these guides on a microfluidic droplet array with targeted pre‑amplification. The main contribution is pairing algorithmic guide selection with a validated experimental matrix and calibrated Bayesian deconvolution to produce per‑target analytical and clinical performance claims. Expected outcomes are analytically validated limits of detection in relevant sample matrices, calibrated decision rules for positive/negative calls, and comparative performance vs standard RT‑qPCR and multiplex predicates, enabling a regulator‑grade dossier for clinical and public‑health surveillance use.</w:t>
      </w:r>
    </w:p>
    <w:p>
      <w:r>
        <w:t xml:space="preserve"> </w:t>
      </w:r>
    </w:p>
    <w:p>
      <w:pPr>
        <w:pStyle w:val="Heading2"/>
      </w:pPr>
      <w:r>
        <w:t>Experiments</w:t>
      </w:r>
    </w:p>
    <w:p>
      <w:r>
        <w:t>Datasets: (1) Synthetic quantified RNA/DNA standards for all 23 pathogen targets; (2) negative human matrices (nasopharyngeal swab, serum/plasma, whole blood EDTA, urine, stool); (3) contrived spiked matrices across concentration ranges; (4) retrospective frozen clinical specimens with confirmed comparator results; (5) prospective multicenter clinical samples from acute febrile patients. Baselines: CE‑marked/FDA‑EUA RT‑qPCR assays per target (CDC/WHO assays where available), BioFire FilmArray or equivalent multiplex panels, and singleplex RT‑qPCR. Evaluation metrics: per‑target analytical LOD (concentration with ≥95% detection), clinical sensitivity and specificity (with 95% CI), AUC for SN discrimination, per‑target FDR ≤1%, PPV/NPV across prevalences, coefficient of variation (CV) for amplification uniformity, inter‑lab Cohen’s kappa, and false‑positive rate from index hopping. Experimental setup: LOD protocol—serial 10× then 2× dilutions in matrix; 20 replicates at candidate LOD; report LOD per matrix. Cross‑reactivity—test each guide vs 20–30 near neighbors at ≥1×10^6 copies/mL. SN discrimination—synthesize single‑nucleotide variants at each guide position; compute AUC. Co‑infection mixes—2–4 targets at ratios 1:1, 1:10, 1:100. Contamination tests—dual indices + UMIs; measure index hopping and UMI collision at read depths 250, 500, 1000 reads per droplet. Deconvolution and thresholds—train Bayesian negative‑binomial/Poisson model on synthetic + retrospective data; decision‑curve analysis to choose posterior cutoffs. Ablations: (A) deep‑learning designed guides vs expert/manual guides; (B) RT‑RPA pre‑amplification vs limited‑cycle RT‑PCR two‑tier; (C) with vs without blocker oligos; (D) read‑depth/UMI length sensitivity (250/500/1000 reads; 8/12 nt UMIs). Reproducibility: six‑site inter‑lab blinded panel (60 samples), three operators per site, three runs each. Analysis: compare to baselines using McNemar tests for paired sensitivity/specificity, ROC/AUC for discrimination, and Bayesian credible intervals for low‑prevalence targets.</w:t>
      </w:r>
    </w:p>
    <w:p>
      <w:r>
        <w:t xml:space="preserve"> </w:t>
      </w:r>
    </w:p>
    <w:p>
      <w:pPr>
        <w:pStyle w:val="Heading2"/>
      </w:pPr>
      <w:r>
        <w:t>Risk Factors And Limitations</w:t>
      </w:r>
    </w:p>
    <w:p>
      <w:r>
        <w:t>Technical failure modes: uneven pre‑amplification across many targets causing loss of sensitivity for low‑copy targets; guide cross‑reactivity or poor single‑nucleotide discrimination leading to false positives; index hopping or UMI collisions producing spurious signals. Data and evaluation biases: limited availability of clinical positives for rare targets may require contrived samples that do not fully mimic clinical matrices. Scalability limits: droplet manufacturing variability (droplet size CV), optical detection throughput, and sequencing/read‑depth costs constrain per‑run plex and per‑test cost. Compute limits: Bayesian deconvolution with full MCMC is compute‑intensive for high throughput. Generalization limits: assay performance may vary by geographic strain diversity, specimen collection quality, and matrix differences not covered in validation. Regulatory and supply risks: single‑source reagents or surfactants and incomplete comparator alignment may delay approvals.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