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hierarchical_biomarker_inference</w:t>
      </w:r>
    </w:p>
    <w:p>
      <w:r>
        <w:t xml:space="preserve"> </w:t>
      </w:r>
    </w:p>
    <w:p>
      <w:pPr>
        <w:pStyle w:val="Heading2"/>
      </w:pPr>
      <w:r>
        <w:t>Title</w:t>
      </w:r>
    </w:p>
    <w:p>
      <w:r>
        <w:t>A hierarchical Bayesian and frequentist modeling pipeline for robust inference of treatment effects on 24-hour biomarker response and related endpoints</w:t>
      </w:r>
    </w:p>
    <w:p>
      <w:r>
        <w:t xml:space="preserve"> </w:t>
      </w:r>
    </w:p>
    <w:p>
      <w:pPr>
        <w:pStyle w:val="Heading2"/>
      </w:pPr>
      <w:r>
        <w:t>Short Hypothesis</w:t>
      </w:r>
    </w:p>
    <w:p>
      <w:r>
        <w:t>A prespecified hierarchical modeling pipeline that incorporates batch and operator random effects, harmonized weakly informative priors, automated QC gates, and explicit MNAR sensitivity analyses will produce treatment-effect estimates for 24-hour biomarker concentration with lower bias and correct 95% interval coverage than standard non-hierarchical models without MNAR checks.</w:t>
      </w:r>
    </w:p>
    <w:p>
      <w:r>
        <w:t xml:space="preserve"> </w:t>
      </w:r>
    </w:p>
    <w:p>
      <w:pPr>
        <w:pStyle w:val="Heading2"/>
      </w:pPr>
      <w:r>
        <w:t>Related Work</w:t>
      </w:r>
    </w:p>
    <w:p>
      <w:r>
        <w:t>Existing approaches use linear mixed models (LMMs), Cox proportional hazards (PH) models, and nonlinear mixed-effects models (NLMEMs) for biomarker and pharmacodynamic analyses. Typical pipelines estimate fixed/random effects with REML or frequentist frailty models, or calibrate nonlinear models in a Bayesian framework. Missing data is often handled by ad hoc multiple imputation or complete-case analysis, and MNAR (missing not at random) sensitivity is rarely pre-specified. Multiplicity control is variably applied and interim/adaptive rules are frequently underspecified. Reproducibility practices (containerized code, pinned dependencies, fixed seeds) are inconsistently adopted. Limitations of current methods include weak handling of batch/operator heterogeneity, lack of formal MNAR sensitivity ranges grounded in assay bias, insufficient prior justification and sensitivity checks, underpowered or impractical sample-size recommendations when repeated measures are not exploited, and poor end-to-end auditability for regulatory review.</w:t>
      </w:r>
    </w:p>
    <w:p>
      <w:r>
        <w:t xml:space="preserve"> </w:t>
      </w:r>
    </w:p>
    <w:p>
      <w:pPr>
        <w:pStyle w:val="Heading2"/>
      </w:pPr>
      <w:r>
        <w:t>Abstract</w:t>
      </w:r>
    </w:p>
    <w:p>
      <w:r>
        <w:t>We address reproducible and robust estimation of treatment effects on a 24-hour biomarker and related endpoints (time-to-threshold and EC50) in small-to-moderate studies with batch/operator variability and missing data. We propose a prespecified pipeline that unifies hierarchical mixed models (for repeated measures), Cox PH with shared frailty (for time-to-event), and nonlinear mixed-effects Emax/Hill models (for EC50) with harmonized weakly informative priors and automated QC gates. The pipeline includes explicit MNAR sensitivity (selection and pattern-mixture models), prior-predictive checks, formal diagnostic rules, and a simulation-driven sample-size and interim/adaptive plan (including O’Brien–Fleming boundaries). Code, containers, and fixed seeds ensure reproducibility. The main contribution is an end-to-end, auditable workflow that produces inference with transparent operating characteristics (bias, coverage, power) and pre-specified decision rules for go/no-go and regulatory-ready preregistration. Expected outcome: more reliable, reproducible biomarker-based decisions with quantified risks from data irregularities, informing pilot-to-full-study transitions.</w:t>
      </w:r>
    </w:p>
    <w:p>
      <w:r>
        <w:t xml:space="preserve"> </w:t>
      </w:r>
    </w:p>
    <w:p>
      <w:pPr>
        <w:pStyle w:val="Heading2"/>
      </w:pPr>
      <w:r>
        <w:t>Experiments</w:t>
      </w:r>
    </w:p>
    <w:p>
      <w:r>
        <w:t>Datasets: (1) synthetic_pilot generated to match assay noise and QC characteristics (8 biological replicates per arm, 3 technical replicates each, 4 time points), (2) de-identified pilot experimental dataset from the lab with the same design, and (3) an external de-identified public biomarker time-course dataset for benchmarking. Baselines: (A) standard LMM without batch/operator random effects (REML), (B) Cox PH without frailty for time-to-event, (C) non-hierarchical Emax/Hill fit by nonlinear least squares, (D) Bayesian models with non-hierarchical priors. Models to evaluate: hierarchical LMM (REML and Bayesian), Cox PH with shared frailty, hierarchical NLMEM (Bayesian). Evaluation metrics: bias of treatment effect, RMSE, empirical 95% interval coverage, calibration slope (observed vs predicted), power and type-I error, effective sample size (ESS), R-hat for convergence (where R-hat &gt;1.1 indicates non-convergence), ICC (intra-class correlation), AIC/BIC/LOO for model selection, concordance index (C-index) for survival, median time difference accuracy. Experimental setup: Monte Carlo simulation grid with 1000 replicates per condition; conditions vary effect size Δ in {0.2,0.25,0.3,0.4}, ICC in {0.05,0.1,0.2,0.3}, dropout {5%,10%,20%}, batch variance extremes (low/high), unbalanced cluster sizes, non-normal residuals (t-distributions df=3), and informative censoring scenarios. Fixed RNG seeds and pinned package versions; models run in containers (Stan for Bayesian, lme4/nlme/survival for frequentist). Missing-data treatments compared: predictive mean matching (PMM) chained equations (mice), Bayesian multiple imputation, and complete-case; number of imputations m = max(20, 2 * percent_missing). MNAR sensitivity: pattern-mixture delta-shifts grid from 0 to 0.5 SD in 0.05 steps and selection-model parameter grid; report tipping-point delta where inference (sign or gate decision) reverses. Ablations: (1) remove batch/operator random effects, (2) change prior scales (weak vs skeptical vs enthusiastic), (3) vary covariance structure choice (unstructured vs AR(1) vs compound symmetry), (4) change imputation method and m, (5) disable QC gates. For real pilot data: perform preregistered pipeline, then independent replication run on different day/operator/lot and compare direction and magnitude (pass if direction preserved and magnitude within ±50% with overlapping CIs). Reporting: per-condition metrics, operating-characteristic tables, diagnostic logs (residual plots, influence measures, PH tests), and containerized analysis artifacts with exact invocation commands and fixed seeds.</w:t>
      </w:r>
    </w:p>
    <w:p>
      <w:r>
        <w:t xml:space="preserve"> </w:t>
      </w:r>
    </w:p>
    <w:p>
      <w:pPr>
        <w:pStyle w:val="Heading2"/>
      </w:pPr>
      <w:r>
        <w:t>Risk Factors And Limitations</w:t>
      </w:r>
    </w:p>
    <w:p>
      <w:r>
        <w:t>Model non-identifiability for EC50 or Hill parameters under sparse dose designs; posterior multi-modality or non-convergence (R-hat&gt;1.1) for complex hierarchical Bayesian fits. High batch or operator variance that overwhelms biological signal leading to low power. Informative missingness larger than prespecified MNAR grids causing biased inference. Small biological sample sizes even with repeated measures may yield wide intervals and unstable variance component estimates. Non-normal residuals or heteroskedasticity invalidating LMM assumptions and requiring alternative models. Proportional hazards violation for Cox PH causing biased hazard estimates if PH tests fail. Compute limitations for large Monte Carlo grids or Bayesian NLMEM fitting (long runtimes, GPU need). Regulatory concern over prior choices if priors are not clearly justified numerically. Limited generalizability to other biomarkers or assays with different kinetics or measurement error structures. Dependence on strict QC pass rates and replication logistics (different day/operator/lot) which may be operationally difficult.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