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china_nrdl_price_negotiation</w:t>
      </w:r>
    </w:p>
    <w:p>
      <w:r>
        <w:t xml:space="preserve"> </w:t>
      </w:r>
    </w:p>
    <w:p>
      <w:pPr>
        <w:pStyle w:val="Heading2"/>
      </w:pPr>
      <w:r>
        <w:t>Title</w:t>
      </w:r>
    </w:p>
    <w:p>
      <w:r>
        <w:t>Evaluating the impact of China's NRDL drug price negotiations on access and health insurance sustainability using staggered difference-in-differences and synthetic control methods</w:t>
      </w:r>
    </w:p>
    <w:p>
      <w:r>
        <w:t xml:space="preserve"> </w:t>
      </w:r>
    </w:p>
    <w:p>
      <w:pPr>
        <w:pStyle w:val="Heading2"/>
      </w:pPr>
      <w:r>
        <w:t>Short Hypothesis</w:t>
      </w:r>
    </w:p>
    <w:p>
      <w:r>
        <w:t>Inclusion of high-cost innovative drugs in China's NRDL via negotiated price reductions causally reduces monthly insurer drug spending per capita and patient out-of-pocket costs, and increases treated-patient counts within 12 months of listing.</w:t>
      </w:r>
    </w:p>
    <w:p>
      <w:r>
        <w:t xml:space="preserve"> </w:t>
      </w:r>
    </w:p>
    <w:p>
      <w:pPr>
        <w:pStyle w:val="Heading2"/>
      </w:pPr>
      <w:r>
        <w:t>Related Work</w:t>
      </w:r>
    </w:p>
    <w:p>
      <w:r>
        <w:t>Existing studies evaluate drug price policies using two-way fixed-effects difference-in-differences (DiD), event studies, and occasional synthetic controls (a method that builds a weighted control unit as a counterfactual). Prior work documents price declines after negotiation but often relies on aggregate procurement data, short time windows, or single-province case studies. Limitations include (1) biased DiD estimates under staggered adoption and heterogeneous effects (negative weighting and dynamic bias), (2) limited patient-level claims linkage preventing direct measurement of insurer spending and patient out-of-pocket (OOP) burden, (3) weak or untested instruments proposed for causal IV designs, (4) small treated-unit problems where synthetic control donor pools are poorly specified, and (5) sparse modeling of supplier responses and contract terms (rebates, volume guarantees). Equity and distributional analysis across insurance schemes (UEBMI vs URRBMI), urban/rural, and income strata are under-explored.</w:t>
      </w:r>
    </w:p>
    <w:p>
      <w:r>
        <w:t xml:space="preserve"> </w:t>
      </w:r>
    </w:p>
    <w:p>
      <w:pPr>
        <w:pStyle w:val="Heading2"/>
      </w:pPr>
      <w:r>
        <w:t>Abstract</w:t>
      </w:r>
    </w:p>
    <w:p>
      <w:r>
        <w:t>This study assesses how negotiated inclusion of innovative and high-cost drugs in China’s National Reimbursement Drug List (NRDL) affected drug prices, access, and financial sustainability of public health insurance from 2017–2023. We combine near-national NHSA/CHIRA claims (hashed IDs), provincial procurement tender data, NRDL inclusion dates, and hospital EMR samples to estimate causal effects. The primary identification uses a staggered difference-in-differences estimator (Callaway &amp; Sant’Anna) to compute group-time average treatment effects, with Sun &amp; Abraham event-study checks, instrumental-variable (IV) tests using procurement calendar shocks (an exogenous timing variant), and synthetic controls for small-n cases. We pre-specify outcomes—insurer drug spending per capita, treated patient counts, and patient OOP per episode—and secondary measures such as defined daily doses (DDD) and adherence. The main contribution is a transparent, preregistered inference pipeline linking microclaims to procurement to quantify price negotiation impacts and distributional consequences across provinces and insurance schemes. Expected outcomes include precise ATT estimates, power-calibrated MDE thresholds by province, and policy-relevant scenario outputs for insurer solvency and equitable access.</w:t>
      </w:r>
    </w:p>
    <w:p>
      <w:r>
        <w:t xml:space="preserve"> </w:t>
      </w:r>
    </w:p>
    <w:p>
      <w:pPr>
        <w:pStyle w:val="Heading2"/>
      </w:pPr>
      <w:r>
        <w:t>Experiments</w:t>
      </w:r>
    </w:p>
    <w:p>
      <w:r>
        <w:t>Datasets: (1) NHSA/CHIRA claims with salted hashed national ID, claim ID, demographics, insurer type, ICD codes, drug ATC and product codes, quantity, unit price, reimbursed amount, patient OOP, service dates; (2) NRDL masterfile with inclusion dates and round identifiers; (3) provincial procurement tender data with tender ID, procurement price, manufacturer ID, contract term fields where available; (4) hospital EMR samples for prescribing and adherence measures; (5) commercial market data (IQVIA) as fallback. Baselines: (A) standard two-way fixed-effects DiD (TWFE) with drug×province and month FE; (B) Callaway &amp; Sant’Anna staggered DiD (group-time ATT) — primary; (C) Sun &amp; Abraham event-study correction for dynamic heterogeneity; (D) synthetic control for drugs/provinces with few treated units (synthetic control constructs a weighted combination of donors to match pre-treatment trends); (E) IV estimator using procurement calendar shocks as instrument (instrumental variable is a variable that shifts treatment exposure but not outcomes directly). Outcomes and metrics: primary — monthly insurer drug spending per capita (currency per month), treated-patient count per drug per month, patient OOP per treatment episode; secondary — DDD per 1000 population, adherence (proportion of days covered), substitution rates to generics/biosimilars, catastrophic OOP incidence (&gt;10% total consumption). Estimation details: define treatment indicator T_drug,province,t = 1 if NRDL inclusion effective by month t; cohort = month of listing; pre-period = up to 36 months before listing; post-period = up to 36 months after listing where available. Covariates: age, sex, comorbidity index, insurer type, province GDP per capita, month×year time trends. Cluster SEs at province level for aggregate models and at patient for micro models. Falsification and robustness: placebo dates (randomly assigned listing months), lead-coefficient tests for pre-trends, leave-one-cohort-out, negative-weight diagnostics for TWFE, compare ATT from Callaway &amp; Sant’Anna with Sun &amp; Abraham and stacked DiD. Synthetic control protocol: donor pool excludes provinces with policy pilots or pre-existing shocks; pre-treatment RMSPE (root mean squared prediction error) threshold set (e.g., pre-fit RMSPE &lt; 2× median donor RMSPE) for inclusion. IV tests: first-stage F&gt;10 threshold; report Anderson–Rubin confidence sets when weak. Ablations: (1) remove IV and compare ATT; (2) omit synthetic control and rely only on staggered DiD; (3) alternative covariate sets (time-varying vs only baseline); (4) imputation vs complete-case for missing contract fields. Power and MDE: compute minimal detectable effect tables per province and subgroup using pilot variance; deprioritize analyses where required sample &lt;500 patient-months for a 10% relative change outcome. Pre-registration: publish exact estimator formulae, covariate sets, cohort definitions, and donor pool rules before analysis.</w:t>
      </w:r>
    </w:p>
    <w:p>
      <w:r>
        <w:t xml:space="preserve"> </w:t>
      </w:r>
    </w:p>
    <w:p>
      <w:pPr>
        <w:pStyle w:val="Heading2"/>
      </w:pPr>
      <w:r>
        <w:t>Risk Factors And Limitations</w:t>
      </w:r>
    </w:p>
    <w:p>
      <w:r>
        <w:t>Data access and linkage: delays or incomplete MOUs with provincial NHSA can reduce coverage; hashed ID linkage errors (false matches or missed matches) may bias longitudinal measures (matching sensitivity/specificity issues). Missing contract fields: rebates and volume guarantees may be absent or inconsistent across provinces, producing measurement gaps and MNAR (missing not at random) patterns. Identification threats: violation of parallel trends (time-varying confounders) or IV exclusion restriction (procurement calendar may correlate with local budget shocks) can bias causal estimates. Small-n treated units: rare/orphan drugs have few treated observations, limiting power and validity of synthetic control. Supplier behavior interference: coordinated bidding or collusion creates interference across provinces, violating stable unit treatment value assumption (SUTVA). External validity: results apply to insured populations captured in NHSA/CHIRA and may not generalize to uninsured or private-clinic patients. Computational limits: synthetic control and large-scale donor matching across many drugs/provinces require substantial compute and memory. Outcome measurement error: OOP reported in claims may miss informal payments or non-claim purchases. Generalization over time: policy regime changes after 2023 could alter applicability of historical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