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neurokey_keystroke_pd</w:t>
      </w:r>
    </w:p>
    <w:p>
      <w:r>
        <w:t xml:space="preserve"> </w:t>
      </w:r>
    </w:p>
    <w:p>
      <w:pPr>
        <w:pStyle w:val="Heading2"/>
      </w:pPr>
      <w:r>
        <w:t>Title</w:t>
      </w:r>
    </w:p>
    <w:p>
      <w:r>
        <w:t>Passive keystroke dynamics with lightweight machine learning for detection and longitudinal monitoring of Parkinson's disease</w:t>
      </w:r>
    </w:p>
    <w:p>
      <w:r>
        <w:t xml:space="preserve"> </w:t>
      </w:r>
    </w:p>
    <w:p>
      <w:pPr>
        <w:pStyle w:val="Heading2"/>
      </w:pPr>
      <w:r>
        <w:t>Short Hypothesis</w:t>
      </w:r>
    </w:p>
    <w:p>
      <w:r>
        <w:t>A machine learning model trained on passive keystroke timing and variability features collected during normal typing can distinguish individuals with Parkinson's disease from controls with area under the ROC curve (AUC) ≥ 0.85 on held-out data.</w:t>
      </w:r>
    </w:p>
    <w:p>
      <w:r>
        <w:t xml:space="preserve"> </w:t>
      </w:r>
    </w:p>
    <w:p>
      <w:pPr>
        <w:pStyle w:val="Heading2"/>
      </w:pPr>
      <w:r>
        <w:t>Related Work</w:t>
      </w:r>
    </w:p>
    <w:p>
      <w:r>
        <w:t>Prior approaches to digital Parkinson's detection include active tasks (e.g., tapping tests, scripted typing) and passive sensors (smartphone accelerometers, wearable devices). Active tasks give strong signals but require user effort and are less scalable. Passive sensor methods can be continuous but typically need wearable hardware or rely on short-duration recordings and small cohorts. Keystroke-dynamics studies have shown promise using hold time and inter-key intervals, but existing work often uses small samples, lacks longitudinal mapping to clinical scales like MDS-UPDRS III, and does not address cross-device, cross-language, or privacy-preserving deployment. Federated learning and differential privacy (to protect raw input) have been proposed in other domains but are rarely combined with keystroke biomarkers. Limitations in prior work include: limited sample sizes, heuristic thresholds for session QC without sensitivity analysis, weak calibration to clinical scores, sparse validation against biosignal tremor measures, and few reproducible artifacts for regulatory review.</w:t>
      </w:r>
    </w:p>
    <w:p>
      <w:r>
        <w:t xml:space="preserve"> </w:t>
      </w:r>
    </w:p>
    <w:p>
      <w:pPr>
        <w:pStyle w:val="Heading2"/>
      </w:pPr>
      <w:r>
        <w:t>Abstract</w:t>
      </w:r>
    </w:p>
    <w:p>
      <w:r>
        <w:t>We address non-invasive, scalable detection and longitudinal monitoring of Parkinson's disease using passive keystroke dynamics collected during normal typing. We propose a browser-based, lightweight pipeline that extracts statistical and temporal keystroke biomarkers (e.g., key hold time, inter-key intervals, variability, and spectral proxies for tremor) and trains compact machine learning models suitable for on-device or federated deployment. The main contribution is an end-to-end design that combines feature engineering, calibration to MDS-UPDRS III motor scores, and privacy-aware training (local differential privacy and federated aggregation) to enable home and telemedicine use. Expected outcomes are: (1) a predictive model achieving clinically useful discrimination (target AUC ≥ 0.85) between Parkinson's and control participants; (2) a calibrated motor-index mapped to UPDRS with an empirically estimated minimal detectable change; and (3) reproducible artifacts including feature definitions, containerized analysis, and privacy-accounting notebooks. This work aims to provide a privacy-conscious, low-burden tool for remote monitoring of motor signs in Parkinson's disease.</w:t>
      </w:r>
    </w:p>
    <w:p>
      <w:r>
        <w:t xml:space="preserve"> </w:t>
      </w:r>
    </w:p>
    <w:p>
      <w:pPr>
        <w:pStyle w:val="Heading2"/>
      </w:pPr>
      <w:r>
        <w:t>Experiments</w:t>
      </w:r>
    </w:p>
    <w:p>
      <w:r>
        <w:t>Datasets: 1) Internal primary cohort: N=1,200 total (600 PD, 600 controls) collected during natural typing sessions across desktop, laptop, and smartphone/tablet; metadata: device type, keyboard layout, language, medication state, Hoehn &amp; Yahr stage. 2) Tremor/brady validation subsample: 300–400 PD participants with simultaneous finger-worn accelerometer/EMG sampled ≥200 Hz synchronized to keystrokes. 3) External validation cohort: N≈500 independent participants across 2–3 sites. Baselines: a) logistic regression on aggregated features, b) Random Forest, c) XGBoost, d) compact Temporal Convolutional Network (TCN), e) on-device MLP on compressed embeddings. Privacy/federated comparisons: centralized training (no DP), federated learning without DP, federated learning with central DP (ε ∈ {1,3}), and local DP on-device (ε ∈ {0.5,1.0}). Evaluation metrics: primary discrimination AUC (area under ROC; measures overall classification ability), sensitivity and specificity at decision thresholds, Brier score and calibration slope/intercept (calibration means predicted probabilities match observed outcomes), precision-recall AUC, net clinical alerts per 1,000 users, and MDC95 mapping error (difference between predicted motor-index change and the Minimal Detectable Change mapped to MDS-UPDRS III). For spectral validation: peak-frequency error (Hz) and relative band-power error (%). Experimental setup: stratified 5-fold cross-validation for model selection on internal cohort with folds stratified by device and language; final models trained on full internal training set and evaluated on external cohort. Report 95% bootstrap confidence intervals (n=2,000). Pre-specify subgroup analyses (device type, language group, H&amp;Y bins) with minimum cell size ~100 per subgroup. Ablation studies: 1) remove spectral tremor features to quantify their contribution to sensitivity for tremor subtypes; 2) vary session minimum keystroke thresholds {100,200,400} to test effect on AUC, exclusion rate, and subgroup bias; 3) compare models with and without DP noise (ablate local DP and central DP) to measure utility loss; 4) model compression ablation: full model vs pruned+quantized model to measure accuracy vs size/latency tradeoffs. Additional experiments: federated-attack simulations with poisoned-client rates {1%,5%,10%} measuring AUC drop and recovery rounds under robust aggregation; calibration methods comparison (linear regression, proportional-odds ordinal regression, isotonic regression/Platt scaling) evaluated by calibration error and mapping RMSE to UPDRS. Significance testing: permutation tests for AUC differences and Bonferroni correction for primary endpoint familywise comparisons.</w:t>
      </w:r>
    </w:p>
    <w:p>
      <w:r>
        <w:t xml:space="preserve"> </w:t>
      </w:r>
    </w:p>
    <w:p>
      <w:pPr>
        <w:pStyle w:val="Heading2"/>
      </w:pPr>
      <w:r>
        <w:t>Risk Factors And Limitations</w:t>
      </w:r>
    </w:p>
    <w:p>
      <w:r>
        <w:t>Technical failure modes: low typing activity (insufficient keystrokes) reducing signal quality; incorrect timestamp synchronization causing misaligned spectral estimates; DP noise degrading calibration to clinical scores. Data biases: uneven representation across languages, device types, age, sex, and race/ethnicity may limit generalization and fairness. Evaluation biases: controls recruited differently from cases may introduce confounding. Scalability and compute: on-device compression and federated protocols require careful engineering; model updates and secure aggregation impose bandwidth and latency constraints. Generalization limits: models trained on one keyboard layout or language may not transfer to others; features capturing tremor via keystroke timing are indirect proxies and may miss low-amplitude tremor. Regulatory/operational constraints: privacy budgets (ε values) accepted by regulators are not standardized and may limit utility; mapping to MDS-UPDRS III has measurement noise from rater variability (ICC) that inflates required sample size. Reproducibility limits: heterogeneity in client participation (dropout) and stochastic federated rounds complicate deterministic re-running of training without archived seeds and captured snapshots.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