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nonexpert_overtrust_xai</w:t>
      </w:r>
    </w:p>
    <w:p>
      <w:r>
        <w:t xml:space="preserve"> </w:t>
      </w:r>
    </w:p>
    <w:p>
      <w:pPr>
        <w:pStyle w:val="Heading2"/>
      </w:pPr>
      <w:r>
        <w:t>Title</w:t>
      </w:r>
    </w:p>
    <w:p>
      <w:r>
        <w:t>Assessing SHAP-like explainability for non-expert detection of biased AI grading decisions</w:t>
      </w:r>
    </w:p>
    <w:p>
      <w:r>
        <w:t xml:space="preserve"> </w:t>
      </w:r>
    </w:p>
    <w:p>
      <w:pPr>
        <w:pStyle w:val="Heading2"/>
      </w:pPr>
      <w:r>
        <w:t>Short Hypothesis</w:t>
      </w:r>
    </w:p>
    <w:p>
      <w:r>
        <w:t>Providing SHAP-like feature-attribution explanations increases the rate at which non-expert users detect and override biased AI grading decisions compared to minimal or plausibly misleading explanations.</w:t>
      </w:r>
    </w:p>
    <w:p>
      <w:r>
        <w:t xml:space="preserve"> </w:t>
      </w:r>
    </w:p>
    <w:p>
      <w:pPr>
        <w:pStyle w:val="Heading2"/>
      </w:pPr>
      <w:r>
        <w:t>Related Work</w:t>
      </w:r>
    </w:p>
    <w:p>
      <w:r>
        <w:t>Prior work on explainable AI (XAI) centers on feature-attribution methods (for example, SHAP and LIME) and on post-hoc explanation interfaces that present which input features influenced a model's output. Human-AI trust research shows that explanation presentation often raises subjective trust and perceived understanding but does not reliably improve users' error detection or calibration. Usability and HCI studies highlight that interface fluency and social endorsement cues can inflate trust independently of explanation fidelity. Existing empirical evaluations are limited by small samples, expert-only participants, artificial tasks, reliance on self-report trust measures, and few pre-registered analytic decisions. Gaps include (1) whether attribution explanations help non-experts spot biased or incorrect model outputs in consequential, realistic tasks; (2) distinguishing reflexive (fast, low-scrutiny) from deliberative (slow, evidence-based) reliance on AI; and (3) simulation-based power planning and sensitivity to missingness or ICC structure in mixed designs.</w:t>
      </w:r>
    </w:p>
    <w:p>
      <w:r>
        <w:t xml:space="preserve"> </w:t>
      </w:r>
    </w:p>
    <w:p>
      <w:pPr>
        <w:pStyle w:val="Heading2"/>
      </w:pPr>
      <w:r>
        <w:t>Abstract</w:t>
      </w:r>
    </w:p>
    <w:p>
      <w:r>
        <w:t>We study whether SHAP-like feature-attribution explanations enable non-expert users to detect and challenge biased AI decisions in a realistic, high-stakes scenario: academic grading. We run a pre-registered experiment where non-experts review AI-graded short-answer exam items under three explanation conditions: high-fidelity SHAP-like attributions, minimal labels with confidence, and plausibly fluent but misleading explanations. The contribution is a reproducible, mixed-effects evaluation that combines behavioral outcomes (accept/override decisions), calibration metrics (Brier score and calibration slope), process measures (decision time and explanation views), and validated trust scales. We provide simulation-based power analysis, concrete thresholds for miscalibration (e.g., mean absolute confidence error &gt;0.20), and predefined model-simplification rules for convergence. Expected outcomes are quantitative estimates of whether and how attribution explanations improve error detection and whether certain explanation styles foster overtrust. Results will inform design and governance of XAI in settings where non-experts encounter consequential model outputs.</w:t>
      </w:r>
    </w:p>
    <w:p>
      <w:r>
        <w:t xml:space="preserve"> </w:t>
      </w:r>
    </w:p>
    <w:p>
      <w:pPr>
        <w:pStyle w:val="Heading2"/>
      </w:pPr>
      <w:r>
        <w:t>Experiments</w:t>
      </w:r>
    </w:p>
    <w:p>
      <w:r>
        <w:t>Dataset: curated corpus of short-answer exam items with gold labels and rubric-derived ground-truth grades; item pool ≥60 items. Create model outputs (AI grades) with two reliability regimes (high: ≈85% correct, low: ≈60% correct). Insert 10% critical-error items per block where model output contradicts gold grade. Explanation conditions (within-subject): (A) high-fidelity SHAP-like attributions (feature contributions per token/feature); (B) minimal output only (grade + confidence); (C) plausible-but-misleading explanations (fluent text or shuffled attributions that appear reasonable). Pilot: N=40 to bin items by difficulty (Easy ≥85% pilot accuracy, Ambiguous 36–84%, Hard ≤35%) and estimate ICCs. Main: preregistered N=120 non-expert participants recruited via Prolific with screening (age≥18, English fluent, no domain training, self-rated expertise ≤3/7). Design: mixed design with Explanation (3 levels, within) × Reliability (2 levels, within or blocked) randomized by Latin square; items balanced for difficulty; block washout with distractor tasks. Baselines: minimal (B) and shuffled-attribution ablation of (A). Evaluation metrics: primary outcome = detection rate of biased decisions (binary: override vs accept); secondary outcomes = mean absolute ConfError (|confidence−accuracy|), Brier score (mean squared probability error), calibration slope/intercept, decision time, number of explanation views, and post-block trust scale (6-item). Analysis: pre-specified mixed-effects models: glmer(Accept ~ Explanation*Reliability + Difficulty + TrialNumber + (1+Explanation*Reliability|Participant) + (1|Item), family=binomial) and lmer(AbsConfError ~ Explanation*Reliability + Difficulty + TrialNumber + (1+Explanation*Reliability|Participant) + (1|Item)). Test primary contrasts: high-fidelity vs minimal, high-fidelity vs misleading, reliability main effect; Holm correction for multiplicity. Ablation study: compare A vs shuffled-A to separate content fidelity from presentation fluency. Additional analyses: process index classifying reflexive vs deliberative reliance using RT percentiles and explanation view counts (pre-registered thresholds), mediation test of perceived fidelity (mediator) using multilevel bootstrapping, and Bayesian sensitivity with Normal(0,1) priors on standardized predictors. Simulation: archive R/BRMS scripts that simulate exact mixed models across ICC grid and MNAR/MAR missingness, run 1,000 replicates per candidate N to ensure ≥80% power for primary contrasts, with escalation rules archived.</w:t>
      </w:r>
    </w:p>
    <w:p>
      <w:r>
        <w:t xml:space="preserve"> </w:t>
      </w:r>
    </w:p>
    <w:p>
      <w:pPr>
        <w:pStyle w:val="Heading2"/>
      </w:pPr>
      <w:r>
        <w:t>Risk Factors And Limitations</w:t>
      </w:r>
    </w:p>
    <w:p>
      <w:r>
        <w:t>Sampling and external validity: Prolific non-experts may not represent real stakeholders in high-stakes domains. Measurement limits: self-reported confidence or trust scales can be biased and may not map to real-world behavior. Explanation fidelity mismatch: generated SHAP-like attributions may not reflect the true model decision process, producing false assurance or misleading signals. Ceiling/floor effects: tasks too easy or too hard will mask treatment effects. Missing data: dropout may be MAR or MNAR, which can bias mixed-model estimates. Statistical complexity: mixed models with many random slopes may fail to converge, requiring simplification that changes estimands. Ethical constraints: deception (manipulating reliability) requires careful debriefing and may limit participant recruitment or data deletion after debrief. Generalization limits: results from academic grading may not transfer to domains with different input types (medical images) or to populations with domain expertise. Computational limits: creating plausible misleading explanations and running extensive simulation grids requires compute resources and careful seeding to ensure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