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pd_depression_speech_features</w:t>
      </w:r>
    </w:p>
    <w:p>
      <w:r>
        <w:t xml:space="preserve"> </w:t>
      </w:r>
    </w:p>
    <w:p>
      <w:pPr>
        <w:pStyle w:val="Heading2"/>
      </w:pPr>
      <w:r>
        <w:t>Title</w:t>
      </w:r>
    </w:p>
    <w:p>
      <w:r>
        <w:t>Comparative evaluation of handcrafted acoustic features versus speech foundation-model embeddings for detecting depression in Parkinson's disease from speech</w:t>
      </w:r>
    </w:p>
    <w:p>
      <w:r>
        <w:t xml:space="preserve"> </w:t>
      </w:r>
    </w:p>
    <w:p>
      <w:pPr>
        <w:pStyle w:val="Heading2"/>
      </w:pPr>
      <w:r>
        <w:t>Short Hypothesis</w:t>
      </w:r>
    </w:p>
    <w:p>
      <w:r>
        <w:t>Handcrafted acoustic feature representations yield different (higher or lower) diagnostic accuracy than speech foundation-model embeddings for detecting DSM-5 depression in Parkinson's disease speech when evaluated under the same cross-validated protocol.</w:t>
      </w:r>
    </w:p>
    <w:p>
      <w:r>
        <w:t xml:space="preserve"> </w:t>
      </w:r>
    </w:p>
    <w:p>
      <w:pPr>
        <w:pStyle w:val="Heading2"/>
      </w:pPr>
      <w:r>
        <w:t>Related Work</w:t>
      </w:r>
    </w:p>
    <w:p>
      <w:r>
        <w:t>Prior work on speech-based depression detection uses two main representation families: interpretable handcrafted acoustic features (prosody, voice quality, pause metrics, spectral/formant measures) and learned embeddings from speech foundation models (large self-supervised neural encoders). Handcrafted pipelines offer interpretability and can be robust to small datasets but may miss complex patterns. Foundation-model embeddings capture richer, higher-dimensional signals and often improve performance on general affect tasks, but they are less interpretable and can encode confounders (e.g., dysarthria, recording device). Existing studies often use small or mixed clinical samples, lack PD-specific confounder control (motor severity, medication state, dysarthria), insufficient cross-language or ASR-error analysis, and limited external holdouts. Reproducibility and calibrated clinical thresholds are frequently under-reported. These gaps leave unresolved whether simpler interpretable features or foundation-model representations are preferable for PD depression screening under clinically realistic constraints.</w:t>
      </w:r>
    </w:p>
    <w:p>
      <w:r>
        <w:t xml:space="preserve"> </w:t>
      </w:r>
    </w:p>
    <w:p>
      <w:pPr>
        <w:pStyle w:val="Heading2"/>
      </w:pPr>
      <w:r>
        <w:t>Abstract</w:t>
      </w:r>
    </w:p>
    <w:p>
      <w:r>
        <w:t>This study compares two speech representation approaches for automated detection of depression in Parkinson’s disease (PD): interpretable handcrafted acoustic features and non-interpretable embeddings from speech foundation models. We evaluate both approaches head-to-head on clinical PD speech data and a non-PD depression corpus to examine generalization. The framework pre-specifies a single primary metric sensitive to class imbalance, stratified cross-validation, and external holdout evaluation. Contributions are: (1) a rigorously controlled empirical comparison of handcrafted versus foundation-model representations for PD depression detection, (2) analysis of which acoustic descriptors differ between typical depression and PD-related depression, and (3) layer-wise and training-mode (frozen vs fine-tuned) assessment of foundation models with ASR-error analysis. Expected outcomes include quantifying trade-offs in accuracy, interpretability, and robustness, identifying acoustic markers that survive PD-specific confounding, and providing reproducible benchmarks and evaluation rules for clinical research use.</w:t>
      </w:r>
    </w:p>
    <w:p>
      <w:r>
        <w:t xml:space="preserve"> </w:t>
      </w:r>
    </w:p>
    <w:p>
      <w:pPr>
        <w:pStyle w:val="Heading2"/>
      </w:pPr>
      <w:r>
        <w:t>Experiments</w:t>
      </w:r>
    </w:p>
    <w:p>
      <w:r>
        <w:t>Datasets: DAIC-WOZ (non-PD depression corpus) and a PD-depression corpus (target N up to 400 PD participants; reserve external holdout N&gt;=150). Data requirements: per-session include &gt;=60 s spontaneous speech, a reading passage, and sustained vowel. Baselines: (A) Handcrafted features + classifiers (logistic regression, XGBoost, SVM). Handcrafted features: F0 mean/variance, jitter, shimmer, HNR, spectral slope, MFCC summaries, formant (F1-F3) statistics, CPP, speech/articulation rate, pause counts/durations. (B) Frozen speech foundation-model embeddings + classifier (XLS-R, WavLM, HuBERT). (C) Fine-tuned foundation models (gradual unfreezing / full fine-tune). (D) Hybrid fusion (concatenate handcrafted + embeddings). Classifiers: linear and nonlinear heads (MLP), tuned per representation. Evaluation metrics: primary = AUPRC (area under precision-recall curve); secondary = ROC-AUC, sensitivity, specificity, PPV, NPV, Brier score (calibration), RMSE and Pearson r for MADRS regression. Validation: nested stratified cross-validation folds stratified by DSM-5 label, ON/OFF medication state, dysarthria severity bins, language/site; use nested inner folds for hyperparameter tuning. External tests: leave-one-site/language-out and final locked holdout evaluation. Ablations: (1) layer-wise embedding selection (pooling from different model layers) to find optimal layer; (2) remove dysarthria covariate (no residualization) versus include residualized features; (3) adversarial debiasing versus no debiasing for dysarthria; (4) ASR-error impact: inject noise to vary WER and plot AUPRC vs WER. Statistical comparison: paired Wilcoxon signed-rank on fold results, report effect sizes and bootstrap 95% CIs. Hyperparameter search: pre-specified grids; limit compute: 200-600 GPU-hours total for fine-tuning experiments. Report model seeds, fold splits, and all code for reproducibility.</w:t>
      </w:r>
    </w:p>
    <w:p>
      <w:r>
        <w:t xml:space="preserve"> </w:t>
      </w:r>
    </w:p>
    <w:p>
      <w:pPr>
        <w:pStyle w:val="Heading2"/>
      </w:pPr>
      <w:r>
        <w:t>Risk Factors And Limitations</w:t>
      </w:r>
    </w:p>
    <w:p>
      <w:r>
        <w:t>Label noise and adjudication: diagnostic errors or inconsistent rater adjudication can bias results. Confounding by dysarthria and motor severity: speech patterns from PD motor symptoms may drive classifiers instead of depression. Class imbalance and prevalence shifts: lower or higher-than-expected depression prevalence reduces power; planned sample targets may not be reached. ASR and language issues: ASR errors and multilingual variation can degrade embeddings and reduce generalization across languages and accents. Small subgroup sizes: subgroup analyses (ON/OFF, language) may lack power. Overfitting and model selection bias: extensive tuning risks optimistic estimates without strict lockbox rules. Compute constraints: foundation-model fine-tuning requires GPUs and time; resource limits may restrict experiments. Ethical and legal limits: audio sharing is sensitive; controlled-access rules reduce external replication. Generalization limits: results from studied cohorts may not generalize to different PD populations, recording setups, or clinical settings.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