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abeta_axonopathy</w:t>
      </w:r>
    </w:p>
    <w:p>
      <w:r>
        <w:t xml:space="preserve"> </w:t>
      </w:r>
    </w:p>
    <w:p>
      <w:pPr>
        <w:pStyle w:val="Heading2"/>
      </w:pPr>
      <w:r>
        <w:t>Title</w:t>
      </w:r>
    </w:p>
    <w:p>
      <w:r>
        <w:t>Characterizing amyloid-β effects on axonal transport and microtubule pathology in Alzheimer's disease using multimodal imaging and axon‑targeted biochemical profiling</w:t>
      </w:r>
    </w:p>
    <w:p>
      <w:r>
        <w:t xml:space="preserve"> </w:t>
      </w:r>
    </w:p>
    <w:p>
      <w:pPr>
        <w:pStyle w:val="Heading2"/>
      </w:pPr>
      <w:r>
        <w:t>Short Hypothesis</w:t>
      </w:r>
    </w:p>
    <w:p>
      <w:r>
        <w:t>Oligomeric amyloid-β exposure causes a causal reduction of ≥20% in axonal APP cargo transport velocity and a ≥25% increase in APP-positive focal swellings in cortical axons by reducing microtubule stability as measured by a decreased acetylated/total α‑tubulin ratio.</w:t>
      </w:r>
    </w:p>
    <w:p>
      <w:r>
        <w:t xml:space="preserve"> </w:t>
      </w:r>
    </w:p>
    <w:p>
      <w:pPr>
        <w:pStyle w:val="Heading2"/>
      </w:pPr>
      <w:r>
        <w:t>Related Work</w:t>
      </w:r>
    </w:p>
    <w:p>
      <w:r>
        <w:t>Existing studies link amyloid-β (Aβ) to axonal dysfunction using histochemistry, immunohistochemistry, fluorescence imaging, two-photon microscopy, and transgenic mouse models (APP/PS1, APP knock-in). Recent work uses spatial transcriptomics and seeding experiments to map Aβ spread. Limitations include inconsistent Aβ preparation and limited QC across studies, few axon-enriched biochemical measurements (most measures are tissue-level), variable antibody/biosensor validation, sparse cross-model replication (mouse, human iPSC, human tissue), and limited power/sample-size reporting for transport endpoints. Acute injection studies test causality but may not model chronic human disease. Quantitative transport endpoints (velocity, stalled fraction, focal swellings) are underused or measured with differing acquisition/analysis pipelines, which reduces reproducibility and comparability.</w:t>
      </w:r>
    </w:p>
    <w:p>
      <w:r>
        <w:t xml:space="preserve"> </w:t>
      </w:r>
    </w:p>
    <w:p>
      <w:pPr>
        <w:pStyle w:val="Heading2"/>
      </w:pPr>
      <w:r>
        <w:t>Abstract</w:t>
      </w:r>
    </w:p>
    <w:p>
      <w:r>
        <w:t>We address whether specific amyloid-β (Aβ) species cause axonal transport failure and microtubule (MT) destabilization in Alzheimer's disease (AD). We will combine multimodal live and fixed imaging (two-photon, super-resolution, correlative EM) with axon-targeted biochemical fractionation and targeted mass spectrometry to map Aβ species to axonal transport metrics and MT post-translational modifications. The main contribution is a reproducible, pre-registered pipeline that links defined Aβ preparations (monomer, oligomer, fibril) to quantitative axonal endpoints (APP cargo velocity, stalled mitochondria, APP+ swellings, acetylated/total α‑tubulin) across three model systems: rodent microfluidics, human iPSC-derived neurons, and in vivo mouse models, plus human postmortem tissue. Expected outcomes are (1) identification of the Aβ species that drive axonal dysfunction, (2) validated imaging and biochemical SOPs and QC thresholds, and (3) demonstration of reversible deficits by microtubule stabilizers or anti-Aβ agents, improving mechanistic understanding and translational relevance.</w:t>
      </w:r>
    </w:p>
    <w:p>
      <w:r>
        <w:t xml:space="preserve"> </w:t>
      </w:r>
    </w:p>
    <w:p>
      <w:pPr>
        <w:pStyle w:val="Heading2"/>
      </w:pPr>
      <w:r>
        <w:t>Experiments</w:t>
      </w:r>
    </w:p>
    <w:p>
      <w:r>
        <w:t>1) Models and samples: (a) In vitro microfluidic rat cortical neurons: 4 pilot replicates per condition, 6 definitive replicates per condition; at least 50 axonal segments measured per replicate. (b) Human iPSC-derived cortical neurons: three donor lines (two male, one female), 6 replicates per line per condition, ≥50 axonal segments per replicate. (c) In vivo mouse cohorts: APPNL-G-F knock-in, APP/PS1, and wild-type (WT) controls. Pilot: n=4 animals/group (2M/2F); Definitive: n=10 animals/group (5M/5F) balanced by sex; 25 axons tracked per animal. (d) Human postmortem tissue: N=20 AD cases and N=10 age-matched controls with PMI ≤8 hours preferred (≤12 accepted with QC), aim for sex balance. 2) Treatments and comparisons: Conditions per model: vehicle, monomeric Aβ, oligomeric Aβ, fibrillar Aβ (all QC’d), oligomer + rescue (epothilone D low dose), oligomer + motor enhancer, oligomer + anti-Aβ antibody. Ablation/comparison studies: (i) with vs without chemical crosslinking used to preserve oligomers; (ii) oligomer vs fibril vs monomer; (iii) epothilone D vs alternative MT stabilizer if toxicity observed. 3) Endpoints and metrics: Primary endpoints: APP cargo mean velocity (μm/s), fraction of stalled mitochondria per 100 μm, % axons with APP+ focal swellings per mm, axonal acetylated/total α‑tubulin ratio. Secondary: run length, flux (cargo/s), MT density from EM, ATP/mitochondrial membrane potential. 4) Baselines and controls: vehicle control, heat-inactivated Aβ, and spike-in isotope-labeled Aβ standards for MS. 5) Biochemistry: sequential extraction (TBS, detergent, formic acid) on axon-enriched samples and LCM captured axons; targeted LC–MS/MS (isotope-labeled peptides) to quantify monomer, low-order oligomers, protofibrils. 6) Imaging acquisition and QC: pre-registered two-photon frame rates (0.5–2 Hz), line-scan kymographs (10–100 Hz), bead slide normalization per session; record laser power, detector settings, operator. 7) Statistical analysis: primary analysis: linear mixed-effects model with axon nested in animal or culture replicate: outcome ~ treatment + sex + age + batch + (1|animal/replicate). Contrasts: each treatment vs vehicle. Gatekeeping: test primary endpoint 1 at α=0.05, proceed sequentially; remaining endpoints controlled by Benjamini-Hochberg FDR q=0.05 if gates fail. Power: designed to detect 20% change in APP velocity with 80% power, α=0.05 assuming ICC=0.2; definitive in vivo n=10/group with 25 axons/animal. Missing data: likelihood-based mixed models; sensitivity with multiple imputation for covariates. 8) Evaluation metrics and success criteria: statistical significance (adjusted p&lt;0.05), effect-size thresholds (≥20% velocity reduction, ≥25% increase in swellings), and rescue defined as ≥80% restoration of primary endpoint. 9) Replication: repeat definitive in vivo cohort in independent lab with n=6 animals/group. 10) Ablation study: compare crosslinked vs non-crosslinked Aβ preps to measure impact on detection and effect size.</w:t>
      </w:r>
    </w:p>
    <w:p>
      <w:r>
        <w:t xml:space="preserve"> </w:t>
      </w:r>
    </w:p>
    <w:p>
      <w:pPr>
        <w:pStyle w:val="Heading2"/>
      </w:pPr>
      <w:r>
        <w:t>Risk Factors And Limitations</w:t>
      </w:r>
    </w:p>
    <w:p>
      <w:r>
        <w:t>1) Aβ preparation variability: batch-to-batch differences in oligomer content can alter effects; QC may reject batches, slowing experiments. 2) Crosslinking artifacts: chemicals that stabilize oligomers can change epitope accessibility and reduce mass-spectrometry recovery, biasing biochemical readouts. 3) Human tissue quality: limited PMI and variable RIN can reduce detectability of labile species and limit sample size; selection bias toward higher-quality tissue may reduce representativeness. 4) Model translatability: acute stereotaxic Aβ injections may not mimic chronic human amyloidosis; findings may not generalize to late-stage disease. 5) Drug toxicity and PK uncertainty: epothilone D or other MT stabilizers can cause systemic or neuronal toxicity at doses that stabilize MTs; brain exposure may be insufficient or variable. 6) Imaging limits: photobleaching/phototoxicity during live imaging can artifactually alter transport metrics. 7) Statistical risk: higher than expected intra-class correlation (ICC) or greater variance could reduce power and require larger sample sizes. 8) Resource and scalability limits: high-content imaging, EM reconstructions, and targeted MS are time- and cost-intensive, limiting throughput. 9) Biases in evaluation: antibody cross-reactivity or biosensor calibration errors could bias endpoint measures. 10) Generalization limits: results may be specific to the tested Aβ species, models, or brain regions and may not generalize across all AD cases.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