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plasma_proteome_triage</w:t>
      </w:r>
    </w:p>
    <w:p>
      <w:r>
        <w:t xml:space="preserve"> </w:t>
      </w:r>
    </w:p>
    <w:p>
      <w:pPr>
        <w:pStyle w:val="Heading2"/>
      </w:pPr>
      <w:r>
        <w:t>Title</w:t>
      </w:r>
    </w:p>
    <w:p>
      <w:r>
        <w:t>High-throughput plasma proteome profiling to develop a blood-based triage model for detecting cancer in patients with non-specific symptoms</w:t>
      </w:r>
    </w:p>
    <w:p>
      <w:r>
        <w:t xml:space="preserve"> </w:t>
      </w:r>
    </w:p>
    <w:p>
      <w:pPr>
        <w:pStyle w:val="Heading2"/>
      </w:pPr>
      <w:r>
        <w:t>Short Hypothesis</w:t>
      </w:r>
    </w:p>
    <w:p>
      <w:r>
        <w:t>A plasma-protein prediction model trained on high-throughput proteomics increases the AUC by at least 0.05 compared with a standard clinical risk model for 12-month cancer diagnosis in adults presenting with non-specific symptoms.</w:t>
      </w:r>
    </w:p>
    <w:p>
      <w:r>
        <w:t xml:space="preserve"> </w:t>
      </w:r>
    </w:p>
    <w:p>
      <w:pPr>
        <w:pStyle w:val="Heading2"/>
      </w:pPr>
      <w:r>
        <w:t>Related Work</w:t>
      </w:r>
    </w:p>
    <w:p>
      <w:r>
        <w:t>Prior work has applied plasma proteomics (mass spectrometry and multiplex immunoassays such as proximity extension assay, PEA) to detect cancer and other diseases. Existing approaches include targeted LC-MS/MS assays for quantifying peptides with stable-isotope labeled (SIL) standards, and multiplex affinity assays (PEA) that detect many proteins at low concentrations. Limitations in current studies include small cohorts or limited cancer cases, narrow demographic representation, inconsistent pre-analytic handling (leading to variability), high rates of left-censored values below limits of detection (LOD), inadequate handling of missingness that may be not-at-random (MNAR), limited cross-platform harmonization between MS and immunoassays, and frequent lack of external validation or transportability testing. Many prior models risk overfitting due to weak feature-selection controls and nested validation is often missing. Decision thresholds are rarely tied to resource or harm-benefit modeling, and regulatory evidence packages are generally incomplete.</w:t>
      </w:r>
    </w:p>
    <w:p>
      <w:r>
        <w:t xml:space="preserve"> </w:t>
      </w:r>
    </w:p>
    <w:p>
      <w:pPr>
        <w:pStyle w:val="Heading2"/>
      </w:pPr>
      <w:r>
        <w:t>Abstract</w:t>
      </w:r>
    </w:p>
    <w:p>
      <w:r>
        <w:t>Patients who present with non-specific symptoms often undergo prolonged diagnostic pathways before a cancer diagnosis is made. We propose to use high-throughput plasma proteome profiling to build a blood-based triage model that prioritizes patients for expedited diagnostic imaging. The study will combine targeted LC-MS/MS quantitation with multiplex immunoassays (PEA) when sensitivity limits require it, and will prespecify analytical acceptance criteria (limits of quantification, precision) and pre-analytic SOPs. Key contributions are: (1) a reproducible modelling pipeline with nested cross-validation and prespecified missing-data and left-censoring methods; (2) a cross-platform harmonization study using paired samples to enable calibration between MS and immunoassay measurements; and (3) two clinically actionable thresholds (rule-out and rule-in) evaluated by decision-curve and resource-impact analyses. Expected outcomes are a validated diagnostic score with documented analytical performance and external transportability that can inform who should be prioritized for PET–CT or other rapid diagnostics.</w:t>
      </w:r>
    </w:p>
    <w:p>
      <w:r>
        <w:t xml:space="preserve"> </w:t>
      </w:r>
    </w:p>
    <w:p>
      <w:pPr>
        <w:pStyle w:val="Heading2"/>
      </w:pPr>
      <w:r>
        <w:t>Experiments</w:t>
      </w:r>
    </w:p>
    <w:p>
      <w:r>
        <w:t>Datasets: 1) Pilot analytical set: n=80 samples from 2 sites to test SOPs and analytical validation. 2) Prospective primary cohort: N=1,800 adults presenting with non-specific symptoms, with 12-month adjudicated cancer outcome (expected incidence 5–8%). 3) Cross-platform harmonization set: n=200 paired aliquots measured by targeted LC-MS/MS and PEA. 4) External validation cohorts: two independent site cohorts, each with ≥100 cancer cases. Baselines: A) standard clinical risk model (age, sex, symptom features, routine labs), B) any available published biomarker panel measured on the cohort. Evaluation metrics: AUC (area under ROC), sensitivity, specificity, PPV, NPV, calibration slope and intercept, decision-curve net benefit, net reclassification index (NRI), 95% confidence intervals via bootstrapping, and precision of sensitivity (target ±5%). Preprocessing and QC: apply locked pre-analytic filters (time-to-spin, hemolysis index, freeze–thaw), exclude proteins with QC CV&gt;30% or &gt;60% left-censoring for primary model. Cross-platform harmonization: compute Pearson r, Bland–Altman bias, rank-consistency, and Deming regression calibration; acceptance targets: r≥0.85 and mean bias within ±15%. Modeling and validation: primary model family elastic-net logistic regression (explainable; elastic-net penalizes coefficients to reduce overfitting), secondary models XGBoost and Bayesian logistic; feature prefilter: analytical QC then univariate FDR&lt;0.1. Validation scheme: nested CV with outer 5-fold repeated 10×, inner CV for tuning; hold-out internal test set 20% stratified by site; external validation on independent cohorts. Missingness and LOD handling: primary Tobit (censored regression); sensitivity analyses: MICE, pattern-mixture models, and Bayesian censored models. Statistical tests: DeLong test for AUC differences vs clinical baseline; calibration tested with Hosmer-Lemeshow and calibration slope. Ablations: (1) proteins-only vs proteins+clinical covariates, (2) include vs exclude proteins with 30–60% censoring, (3) single-platform model (MS only) vs harmonized cross-platform model, (4) compare Tobit vs MICE vs pattern-mixture on final model performance and selected features. Decision thresholds: evaluate prespecified rule-out threshold aiming for sensitivity≈98% and rule-in threshold aiming for specificity≥90%; run decision-curve analysis and imaging-resource microsimulations to compute imaging-per-cancer-yield. Reproducibility: release containerized pipeline and synthetic datasets to replay analyses.</w:t>
      </w:r>
    </w:p>
    <w:p>
      <w:r>
        <w:t xml:space="preserve"> </w:t>
      </w:r>
    </w:p>
    <w:p>
      <w:pPr>
        <w:pStyle w:val="Heading2"/>
      </w:pPr>
      <w:r>
        <w:t>Risk Factors And Limitations</w:t>
      </w:r>
    </w:p>
    <w:p>
      <w:r>
        <w:t>Technical assay risks: some proteins may be below MS limits of quantification (LOQ) in most samples (left-censoring), causing loss of signal; enrichment methods (SISCAPA) or immunoassays may be needed. Batch effects and inter-site variability can introduce confounding (batch correction may not fully remove bias). Analytical decisions risk overfitting if event counts are low in subgroups. Data and sampling risks: observed cancer incidence may be lower than assumed, reducing power; cohorts may under-represent key demographic or comorbidity strata limiting generalization. Missingness risks: values may be MNAR (missing not at random), and diagnostics may fail to fully detect informative censoring. Harmonization limits: correlation and bias metrics may not capture categorical reclassification impacts at clinical thresholds; calibration errors can change individual patient decisions. Computational limits: nested CV and Bayesian censored models can be computationally intensive for large feature sets. Regulatory and implementation risks: uncertainty over optimal regulatory pathway (510(k)/de novo/PMA) and required pivotal sample sizes; cost-effectiveness may be unfavorable if false-positive cascades lead to high imaging use. Privacy and synthetic data risk: synthetic datasets can leak structure that affects re-identification risk if not carefully validated. Generalization limits: temporal shifts and different pre-analytic procedures at other sites may degrade performance over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