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posthoc_concept_disentanglement</w:t>
      </w:r>
    </w:p>
    <w:p>
      <w:r>
        <w:t xml:space="preserve"> </w:t>
      </w:r>
    </w:p>
    <w:p>
      <w:pPr>
        <w:pStyle w:val="Heading2"/>
      </w:pPr>
      <w:r>
        <w:t>Title</w:t>
      </w:r>
    </w:p>
    <w:p>
      <w:r>
        <w:t>Post-hoc non-orthogonality loss for isolating correlated concept activation vectors in neural network latent spaces</w:t>
      </w:r>
    </w:p>
    <w:p>
      <w:r>
        <w:t xml:space="preserve"> </w:t>
      </w:r>
    </w:p>
    <w:p>
      <w:pPr>
        <w:pStyle w:val="Heading2"/>
      </w:pPr>
      <w:r>
        <w:t>Short Hypothesis</w:t>
      </w:r>
    </w:p>
    <w:p>
      <w:r>
        <w:t>Adding a post-hoc non-orthogonality loss when training concept activation vectors (CAVs) causes representations of correlated concepts to become orthogonal directions in a model's latent space, which reduces cross-concept leakage during activation steering while preserving directional correctness and downstream task performance.</w:t>
      </w:r>
    </w:p>
    <w:p>
      <w:r>
        <w:t xml:space="preserve"> </w:t>
      </w:r>
    </w:p>
    <w:p>
      <w:pPr>
        <w:pStyle w:val="Heading2"/>
      </w:pPr>
      <w:r>
        <w:t>Related Work</w:t>
      </w:r>
    </w:p>
    <w:p>
      <w:r>
        <w:t>Existing methods to extract concept directions include Concept Activation Vectors (CAVs), supervised concept probes, and disentanglement models (e.g., variational autoencoder variants that penalize total correlation). Methods for removing or isolating information use covariance penalties, HSIC-based independence penalties (HSIC measures statistical dependence), adversarial concept removal, and factor-based regularizers (TC = total correlation). Limitations: (1) Many methods assume concepts are independent or require joint re-training of the encoder; they fail when concepts are strongly correlated. (2) Independence penalties like HSIC or TC are computationally costly at scale and sensitive to hyperparameters (e.g., kernel bandwidth). (3) Adversarial removal can collapse axes or harm utility because it lacks explicit directional constraints. (4) Existing orthogonalization approaches often sacrifice directional correctness (the sign/direction that aligns with the concept) or task logits. (5) Few techniques provide a post-hoc (after model training) solution that enforces orthogonality while keeping axes directionally correct and preserving downstream performance.</w:t>
      </w:r>
    </w:p>
    <w:p>
      <w:r>
        <w:t xml:space="preserve"> </w:t>
      </w:r>
    </w:p>
    <w:p>
      <w:pPr>
        <w:pStyle w:val="Heading2"/>
      </w:pPr>
      <w:r>
        <w:t>Abstract</w:t>
      </w:r>
    </w:p>
    <w:p>
      <w:r>
        <w:t>We address entanglement of concept activation vectors (CAVs) when target concepts are correlated in a pre-trained model's latent space. We propose a post-hoc training procedure that adds a non-orthogonality loss term to the standard concept alignment objective so that correlated concepts are encouraged to lie on orthogonal directions while retaining directional correctness (the sign and alignment of each axis). Our method trains a low-capacity linear mapper g(z)=Wz+b that produces per-concept activations; the loss combines alignment to labeled concept examples, an isolation term that penalizes pairwise non-orthogonality, and orthogonality regularization on W. The main contribution is a reproducible post-hoc algorithmic recipe that: (1) converts correlated CAVs into isolated orthogonal axes, (2) keeps activation-steering effectiveness, and (3) provides diagnostics (HSIC, covariance, WW^T error, per-axis probes) and statistical tests for stability. Expected outcome: orthogonalized, interpretable concept axes that reduce leakage in activation steering tasks on real and synthetic benchmarks without retraining the encoder.</w:t>
      </w:r>
    </w:p>
    <w:p>
      <w:r>
        <w:t xml:space="preserve"> </w:t>
      </w:r>
    </w:p>
    <w:p>
      <w:pPr>
        <w:pStyle w:val="Heading2"/>
      </w:pPr>
      <w:r>
        <w:t>Experiments</w:t>
      </w:r>
    </w:p>
    <w:p>
      <w:r>
        <w:t>Datasets: CelebA (facial attributes) and FunnyBirds synthetic dataset (controlled concept generator). Additional synthetic regimes: dSprites-style or 3DShapes-style datasets with adjustable pairwise correlations ρ ∈ {0.0,0.5,0.9} and triadic confounding. Models: pre-trained VGG16 and ResNet18 feature encoders; fixed encoder weights. Mapper: linear g(z)=Wz+b with k axes. Baselines: (A) standard CAV (linear logistic probe per concept) without isolation, (B) CAV + covariance penalty (L_cov = sum_{i≠j} Cov_B(c_i,c_j)^2), (C) CAV + HSIC isolation (biased V-statistic with Gaussian kernel, σ median heuristic), (D) TC-style penalty with discriminator (FactorVAE-style), (E) adversarial removal (gradient reversal). Proposed: CAV + non-orthogonality loss (L_nonortho = sum_{i≠j} (w_i·w_j)^2 on axis vectors and optionally batch covariance on activations). Evaluation metrics (definitions): purity = P(y_target | c_j ≥ τ) with τ chosen as axis activation median per training set (median threshold); completeness = R^2 of linear regression of the true concept label on single axis activations (fraction of variance explained); leakage = AUC of probe classifiers for non-target concepts using single axis; orthogonality error = ||W W^T − I||_F; WW^T explained: measures how close axes are to orthonormal; activation-steering effect = downstream change in model logits after adding +α to axis (report Δlogit and classification accuracy). Causal/ATE evaluation: with generator do(C_j=v) samples, compute ATE_j = E[Y | do(C_j=1)] − E[Y | do(C_j=0)] using difference-in-means for interventional samples and augmented IPW (AIPW) for observational approximations; bootstrap CIs with 1000 resamples. Training and hyperparameters: λ_align=1.0, λ_iso ∈ {0.1,0.5,1.0} (default 0.5 for covariance), orthogonality weight 1.0, L1 weight 1e-4; Adam optimizers lr_mapper=1e-4, lr_task_head=1e-3; batch size 512, epochs 50, seeds {0,1,2}. Ablations: vary λ_iso, compare covariance vs HSIC vs TC vs non-orthogonality loss, test linear vs shallow nonlinear mapper (1-layer MLP with hidden 64) when linearity diagnostics fail, vary k selection strategies. Statistical tests and multiplicity: mark primary tests as purity and completeness per axis and activation-steering effect; use Benjamini–Hochberg FDR control at q=0.05 across axes for these primary tests; report exploratory HSIC pairwise results with BH correction. Compute budget and debug modes: full HSIC sweeps and 1000 permutations reserved for full runs; debug runs use batch sizes 128 and 100 permutations. Reproducibility: log dataset/version, commit hash, container image, RNG seeds, and hardware; run seeds {0,1,2} and report median and seed variance.</w:t>
      </w:r>
    </w:p>
    <w:p>
      <w:r>
        <w:t xml:space="preserve"> </w:t>
      </w:r>
    </w:p>
    <w:p>
      <w:pPr>
        <w:pStyle w:val="Heading2"/>
      </w:pPr>
      <w:r>
        <w:t>Risk Factors And Limitations</w:t>
      </w:r>
    </w:p>
    <w:p>
      <w:r>
        <w:t>Technical failure modes: (1) Latent features Z may not contain sufficient information for target concepts (information loss), making post-hoc mapping impossible. (2) Strong unobserved confounders that jointly drive multiple concepts can prevent identification of isolated axes. (3) Highly nonlinear entanglement may not be separable by a linear mapper g, so results may fail unless mapper capacity is increased. (4) Adversarial or HSIC isolation terms can cause axis collapse (axes become low-variance); collapse detection is needed. Data and evaluation biases: annotation errors, biased environment splits, or imperfect generator do-samples can bias purity, completeness, and ATE estimates. Computational limits: HSIC bandwidth sweeps and large permutation tests scale quadratically in batch size and may be infeasible on limited hardware; approximations reduce statistical power. Generalization limits: method is post-hoc on fixed encoders and may not transfer to architectures or domains with different latent geometry. Human-in-the-loop limits: exemplar-based alignment depends on curator quality and may inject subjective bias. Statistical multiplicity: multiple axes and axis-pair tests increase false discovery risk if corrections are not strictly applied.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