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clinicopath_dl_nodal_prediction</w:t>
      </w:r>
    </w:p>
    <w:p>
      <w:r>
        <w:t xml:space="preserve"> </w:t>
      </w:r>
    </w:p>
    <w:p>
      <w:pPr>
        <w:pStyle w:val="Heading2"/>
      </w:pPr>
      <w:r>
        <w:t>Title</w:t>
      </w:r>
    </w:p>
    <w:p>
      <w:r>
        <w:t>Deep learning prediction of regional lymph node metastasis in invasive ductal breast carcinoma from routine clinicopathological features</w:t>
      </w:r>
    </w:p>
    <w:p>
      <w:r>
        <w:t xml:space="preserve"> </w:t>
      </w:r>
    </w:p>
    <w:p>
      <w:pPr>
        <w:pStyle w:val="Heading2"/>
      </w:pPr>
      <w:r>
        <w:t>Short Hypothesis</w:t>
      </w:r>
    </w:p>
    <w:p>
      <w:r>
        <w:t>A neural network trained on routinely collected clinicopathological features (age, tumor size, Bloom-Richardson grade, ER/PR/HER2 status, Ki-67, and microvessel density) will predict pathologic regional lymph node metastasis (pN+) with discrimination (AUC) at least 0.05 greater than a baseline logistic regression model on held-out external data.</w:t>
      </w:r>
    </w:p>
    <w:p>
      <w:r>
        <w:t xml:space="preserve"> </w:t>
      </w:r>
    </w:p>
    <w:p>
      <w:pPr>
        <w:pStyle w:val="Heading2"/>
      </w:pPr>
      <w:r>
        <w:t>Related Work</w:t>
      </w:r>
    </w:p>
    <w:p>
      <w:r>
        <w:t>Prior work has applied machine learning to predict lymph node status using imaging, whole-slide images (WSI), or limited clinical variables; common approaches include logistic regression, tree-based models, and convolutional or multiple-instance learning on histology. Reported limitations include small development cohorts, single-center training, lack of rigorous external validation, weak handling of label uncertainty and adjudication, insufficient subgroup/fairness analyses, poor calibration reporting, and limited use of routinely recorded pathology features such as microvessel density or Ki-67. Studies using WSIs often show sensitivity to scanner and stain variation and rarely quantify abstention/uncertainty for human review. Existing tabular-only methods tend to lack prospective validation and decision-analytic mapping to clinical actions (e.g., omitting sentinel lymph node biopsy). These gaps limit generalizability, fairness, and deployability.</w:t>
      </w:r>
    </w:p>
    <w:p>
      <w:r>
        <w:t xml:space="preserve"> </w:t>
      </w:r>
    </w:p>
    <w:p>
      <w:pPr>
        <w:pStyle w:val="Heading2"/>
      </w:pPr>
      <w:r>
        <w:t>Abstract</w:t>
      </w:r>
    </w:p>
    <w:p>
      <w:r>
        <w:t>Predicting regional lymph node metastasis (pN+) from routine clinicopathological data could improve staging and reduce invasive procedures for patients with invasive ductal carcinoma. We propose to develop and validate a neural network that inputs standard pathology and clinical features (age, greatest invasive tumor dimension, Bloom-Richardson component scores, ER/PR/HER2 results, Ki-67 percentage, and microvessel density) to output calibrated probabilities of pN+. The main contribution is a reproducible evaluation framework: large, prespecified sample-size targets for development and external validation, audited label adjudication with probabilistic labels, uncertainty quantification (ensembles and predictive intervals), subgroup fairness monitoring, and a prospective validation protocol tied to clinical decision thresholds. Expected outcomes are (1) improved discrimination and calibrated risk estimates compared with classical baselines, (2) auditable uncertainty and abstention rules for human review, and (3) performance and fairness characterizations sufficient to inform a pilot clinical decision-support workflow. Results aim to support safer, evidence-based reduction of unnecessary invasive nodal staging.</w:t>
      </w:r>
    </w:p>
    <w:p>
      <w:r>
        <w:t xml:space="preserve"> </w:t>
      </w:r>
    </w:p>
    <w:p>
      <w:pPr>
        <w:pStyle w:val="Heading2"/>
      </w:pPr>
      <w:r>
        <w:t>Experiments</w:t>
      </w:r>
    </w:p>
    <w:p>
      <w:r>
        <w:t>Datasets: Development cohort: &gt;=1,200 patients with target &gt;=360 pN+ events (30% event rate) pooled from multiple centers; calibration hold-out: independent cohort with &gt;=200 pN+ events; external validation: at least two independent centers, each with &gt;=1,000 patients and &gt;=200 pN+ events; prospective pilot: separate cohort of 1,500 consecutive upfront-surgery patients (target &gt;=400 events) for final evaluation. Data inputs: eight clinicopathological features (age, tumor size mm, Bloom-Richardson grade components, ER%, PR%, HER2 IHC/FISH, Ki-67%, microvessel density) plus metadata (center, scanner). Baselines: logistic regression (LR) with L2 regularization, XGBoost, random forest, and a multilayer perceptron (MLP). Proposed model: feedforward neural network with calibrated output probabilities and ensemble uncertainty (5 independent seeds). Evaluation metrics: AUC (area under receiver operating characteristic; discrimination), AUPRC (area under precision-recall curve), calibration-in-the-large (intercept), calibration slope, Brier score, expected calibration error (ECE), NPV and PPV at prespecified thresholds, decision-curve net benefit, subgroup AUC/AUPRC and TPR/FPR differences (equalized odds), and abstention rate. Cross-validation and training: nested group-aware 5-fold cross-validation (grouped by patient and center) repeated 3 times for hyperparameter tuning (Optuna or grid), early stopping, and seed locking for reproducibility. Calibration: temperature scaling on validation fold. Statistical comparisons: DeLong test for AUC differences, bootstrap 95% CIs for metrics. Preplanned ablations: (A) model vs LR/XGBoost/MLP; (B) feature ablation: remove microvessel density, remove Ki-67, remove grade components (one-at-a-time) to measure delta-AUC; (C) label strategy ablation: hard labels vs probabilistic soft labels from adjudication; (D) uncertainty ablation: single model vs 5-model ensemble + MC dropout for predictive interval; (E) subgroup and scanner holdout experiments (leave-one-center-out) to quantify domain shift (ΔAUC, calibration drift). Explanation evaluation: reader study on ~150 cases comparing model feature attributions (SHAP for tabular, attention/heatmaps for image-derived signals if used) vs three pathologist rankings using Spearman correlation and spatial IoU. Reproducibility: seed-locked runs, containerized training images, and published evaluation scripts. Report abstention operating points and reviewer workload tradeoff curves.</w:t>
      </w:r>
    </w:p>
    <w:p>
      <w:r>
        <w:t xml:space="preserve"> </w:t>
      </w:r>
    </w:p>
    <w:p>
      <w:pPr>
        <w:pStyle w:val="Heading2"/>
      </w:pPr>
      <w:r>
        <w:t>Risk Factors And Limitations</w:t>
      </w:r>
    </w:p>
    <w:p>
      <w:r>
        <w:t>Label noise and interobserver variability in pathology annotations may degrade model performance and produce uncertain labels. Development and external cohorts may differ in prevalence, scanner/stain characteristics, or case-mix (selection bias), limiting generalization. Small or rare subgroups (e.g., uncommon histologic variants, racial/ethnic minorities) may have insufficient events for reliable subgroup estimates. Models trained on tabular clinicopathological inputs cannot capture spatial histologic context beyond recorded features. Calibration may drift post-deployment due to changes in practice or case-mix. Privacy risks include unintended memorization if synthetic WSI or detailed metadata are shared. Compute limitations: ensemble training and repeated nested CV require substantial compute and may slow iteration. Interpretability methods (SHAP, heatmaps) have limited causal guarantees and may be misinterpreted by clinicians. The model is not a replacement for pathologic node assessment until prospective clinical utility and safety are demonstrated.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