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disentangled_anatomy_pseudohealthy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Disentangled anatomy learning with edge-to-image pseudo-healthy reconstruction for unsupervised anomaly detection in brain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model that disentangles anatomical structure (Za) from imaging-specific factors (Zp) and reconstructs pseudo-healthy images from Za-derived high-frequency edge cues will produce lower abnormal residuals and yield higher lesion detection AUC on held-out multi-site brain MRI than a comparable reconstruction model that does not perform disentanglement.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unsupervised MRI anomaly detection methods fall into reconstruction-based and generative-model classes. Simple autoencoders and VAEs reconstruct entire images but often blur fine details and retain lesions as residuals. GAN-based and patch-based methods improve realism but can hallucinate or fail to preserve anatomy. Recent diffusion and denoising models give high-fidelity reconstructions but are compute intensive and may overfit domain-specific appearance. Disentangled representation approaches aim to separate content (anatomy) from style (imaging factors) to improve generalization, but prior work often lacks strict leakage controls (synthetic-real patch separation), quantitative disentanglement diagnostics, or preservation of high-frequency anatomical edges. Multi-site and multi-modality robustness, formal privacy accounting for federated training, and clinically meaningful lesion-wise evaluation are still underdeveloped in prior studies. Overall limitations: weak disentanglement measurements, loss of fine structural detail, domain gaps across scanners/sequences, insufficient synthetic realism controls, and sparse clinical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unsupervised anomaly detection in brain MRI by separating anatomical information from imaging-specific factors and using edge-derived anatomy to generate pseudo-healthy images. The method learns a spatial anatomy code Za that encodes structure and a compact pathology/style code Zp for scanner and tissue appearance. Za is constrained by anatomical priors and a differentiable one-hot-like encoding to produce discrete tissue cues; an edge-to-image restoration module reconstructs high-quality pseudo-healthy MRIs from Za's high-frequency edges while reintroducing imaging factors from Zp. The pipeline yields residual maps that highlight abnormalities with reduced false residuals and preserves structural detail crucial for small-lesion detection. Main contributions are (1) a reproducible disentangled reconstruction framework with explicit disentanglement diagnostics, (2) an edge-to-image restoration to retain high-frequency anatomy, and (3) evaluation protocols for multi-sequence, multi-site robustness and synthetic-patch leakage control. Expected outcome: improved lesion-level sensitivity and localization on held-out clinical datasets and clearer, clinically actionable residual maps for neuroradiologist review.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Multi-site brain MRI collection including T1, T2, FLAIR, DWI, and SWI sequences. Use at least 5 sites with diverse scanners and field strengths. Split policy: train on sites 1..N-1, leave-one-site-out testing. Hold-out sets: urgent lesions (acute stroke, hemorrhage) n≈100, chronic lesions (MS, small-vessel disease) n≈200, small/subtle lesions (microbleeds/metastases) n≈150, implants/artifact cases n≈100, healthy controls n≈200. Synthetic data: procedural lesion generator producing ellipsoids, rings, vascular-like foci, sizes 2–40 mm, intensity delta −0.4 to +1.2, textures Gaussian/Perlin/vessel; record seeds and provenance for each patch. Baselines: plain AE, VAE, β-VAE, ff-AnoGAN, diffusion-based reconstruction (DDPM recon), and a weakly supervised U-Net trained with lesions where available. Metrics: lesion-wise sensitivity and precision, ROC AUC, AUPRC, false positives per scan, voxel Dice/IoU stratified by size bins (&lt;5 mm, 5–15 mm, &gt;15 mm), calibration (Brier score and ECE), MRI-feature Fréchet distance (FID analog using a pretrained MRI encoder), MI and TC estimates for Za/Zp (InfoNCE/MINE and FactorVAE TC), active latent count, and human realism ratings (3 radiologists, 5-point scale). Experimental setup: anatomy encoder = 5-level U-Net (feature maps [32,64,128,256,512], Za channels=16 spatial map), pathology encoder = Conv-Conv-GAP-FC producing Zp size 16–32, decoder = symmetric with SPADE/FiLM conditioning. Training: 2D slices, batch 8–32, AdamW lr 1e-4–5e-4, KL anneal 0→1 over 10k steps, TC weight 10–50, MI adversary 1–10, L1+perceptual losses. Reproducibility: publish code repo tag, container image, dataset manifests, seeds {42,2026,7}, pretrained MRI encoder weights, and baseline checkpoints. Ablations: (A) full model vs model without disentanglement (single latent), (B) with vs without edge-to-image restoration, (C) varying TC penalty (low/mid/high), (D) with vs without synthetic-lesion augmentation, (E) DP-SGD runs with ε∈{1,3,8} to measure utility-privacy tradeoffs. Statistical tests: paired bootstrap for AUC/Dice with 95% CI, permutation tests for paired comparisons, and power analysis from pilot variance. Additional evaluations: synthetic-vs-real patch classifier and MRI-feature FID to certify no leakage; radiologist blinded realism and impact rating; per-site calibration plots and operating-point analysis targeting ≤1–2 FP/scan for urgent triage.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Posterior collapse or weak disentanglement: Za or Zp may collapse (inactive latents), reducing separation of anatomy and pathology. 2) Synthetic-real leakage: using real patches in augmentation without strict provenance can inflate apparent performance. 3) Loss of fine structure: reconstruction modules may blur small lesions, lowering sensitivity for lesions &lt;5 mm. 4) Domain shift: unseen scanners, sequences, or patient populations may degrade performance despite leave-one-site-out testing. 5) Annotation noise: inter-rater variability in lesion masks and labels can bias metrics and power estimates. 6) Compute and memory limits: full 3D training and diffusion methods require large GPUs and long runtimes, limiting reproducibility for some groups. 7) Differential privacy utility loss: DP-SGD may substantially reduce detection performance at strict privacy budgets. 8) Artifact sensitivity: skull-strip, registration, motion, and metal artifacts can create false positives or obscure lesions. 9) Clinical thresholding limits: achieving high sensitivity with acceptably low FP/scan may not be feasible for all lesion types. 10) Evaluation bias: reliance on synthetic lesions or limited external datasets risks overestimating clinical generality.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