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rtpa_pi3k_ich</w:t>
      </w:r>
    </w:p>
    <w:p>
      <w:r>
        <w:t xml:space="preserve"> </w:t>
      </w:r>
    </w:p>
    <w:p>
      <w:pPr>
        <w:pStyle w:val="Heading2"/>
      </w:pPr>
      <w:r>
        <w:t>Title</w:t>
      </w:r>
    </w:p>
    <w:p>
      <w:r>
        <w:t>Intracerebral rtPA modulation of neuronal survival after intracerebral hemorrhage via the PI3K/AKT/MTOR pathway</w:t>
      </w:r>
    </w:p>
    <w:p>
      <w:r>
        <w:t xml:space="preserve"> </w:t>
      </w:r>
    </w:p>
    <w:p>
      <w:pPr>
        <w:pStyle w:val="Heading2"/>
      </w:pPr>
      <w:r>
        <w:t>Short Hypothesis</w:t>
      </w:r>
    </w:p>
    <w:p>
      <w:r>
        <w:t>Intracerebrally delivered rtPA directly reduces neuronal apoptosis and maladaptive autophagy after intracerebral hemorrhage by activating neuronal PI3K/AKT/MTOR signaling via LRP1 receptor engagement, independent of plasmin-mediated proteolysis.</w:t>
      </w:r>
    </w:p>
    <w:p>
      <w:r>
        <w:t xml:space="preserve"> </w:t>
      </w:r>
    </w:p>
    <w:p>
      <w:pPr>
        <w:pStyle w:val="Heading2"/>
      </w:pPr>
      <w:r>
        <w:t>Related Work</w:t>
      </w:r>
    </w:p>
    <w:p>
      <w:r>
        <w:t>Current work shows rtPA is an effective clot‑dissolving drug but has complex effects in the brain: studies report both neurotoxicity and neuroprotection. Mechanistic studies indicate rtPA can act through proteolysis (plasmin generation) and through receptor interactions (for example LRP1 and NMDA receptors), and PI3K/AKT signaling has been linked to neuronal survival in other injury models. Prior in vitro work suggests rtPA may influence autophagy and endoplasmic reticulum (ER) stress, but most studies do not separate enzymatic (proteolytic) actions from receptor signaling, lack intracerebral dosing PK/PD, omit orthogonal genetic controls (e.g., plasminogen or receptor knockouts), and seldom measure autophagy flux (dynamic turnover). Transcriptomic and phosphoproteomic coverage is limited in perihematomal tissue. Long‑term functional outcomes and off‑target pathways (e.g., NMDAR) are often not tested. These gaps make it unclear whether rtPA directly activates neuronal PI3K/AKT/MTOR to protect neurons after ICH.</w:t>
      </w:r>
    </w:p>
    <w:p>
      <w:r>
        <w:t xml:space="preserve"> </w:t>
      </w:r>
    </w:p>
    <w:p>
      <w:pPr>
        <w:pStyle w:val="Heading2"/>
      </w:pPr>
      <w:r>
        <w:t>Abstract</w:t>
      </w:r>
    </w:p>
    <w:p>
      <w:r>
        <w:t>Intracerebral hemorrhage (ICH) causes rapid neuron loss and poor outcomes. We will test whether recombinant tissue plasminogen activator (rtPA), delivered near the hematoma, directly activates neuronal PI3K/AKT/MTOR signaling and thereby reduces apoptosis and maladaptive autophagy. Using complementary models (collagenase-induced ICH in mice and hemin-induced injury in primary neurons), we will compare clinical rtPA to catalytically inactive rtPA and apply genetic (plasminogen knockout, neuronal LRP1 conditional knockout) and pharmacologic orthogonals (plasmin inhibitors, LRP1 blockers, NMDAR antagonists). Outcomes combine targeted phospho-profiling, autophagy flux assays, transcriptome sequencing of perihematomal tissue, and safety panels for bleeding and blood–brain barrier integrity. Main contribution: decisive dissection of proteolytic versus receptor-mediated rtPA effects on neuronal survival with aligned PK/PD and rescue experiments (AAV-myr-Akt/Rheb). Expected outcome: a reproducible mechanistic map showing whether rtPA directly promotes neuronal survival via LRP1→PI3K/AKT/MTOR, informing translational risk/benefit for intracerebral rtPA use.</w:t>
      </w:r>
    </w:p>
    <w:p>
      <w:r>
        <w:t xml:space="preserve"> </w:t>
      </w:r>
    </w:p>
    <w:p>
      <w:pPr>
        <w:pStyle w:val="Heading2"/>
      </w:pPr>
      <w:r>
        <w:t>Experiments</w:t>
      </w:r>
    </w:p>
    <w:p>
      <w:r>
        <w:t>Datasets and models: (1) In vivo: adult mouse collagenase ICH model (primary) plus autologous blood ICH (validation); groups include wild-type, plasminogen knockout, neuronal LRP1 conditional knockout (cKO), and hypertensive comorbidity cohort. (2) In vitro: primary rodent cortical neurons, neuron–astrocyte and neuron–microglia co-cultures, and human iPSC-derived neurons; injury: hemin-induced toxicity. (3) Molecular: perihematomal RNA-seq (transcriptome) and targeted phosphoproteomics (p-Akt T308/S473, p-mTOR S2448, p-S6, p-4EBP1). Baselines and controls: vehicle (saline), active rtPA, catalytically inactive rtPA (mutant or heat-inactivated), plasmin inhibitors (aprotinin, tranexamic acid), LRP1 blockade (RAP or neutralizing antibody), NMDAR antagonist (MK-801 or ifenprodil), AAV-myr-Akt and AAV-Rheb rescue, and sham. Evaluation metrics: neuronal survival (NeuN+/TUNEL- counts; NeuN = neuronal nuclei marker, TUNEL labels DNA fragmentation), apoptosis markers (cleaved caspase-3), autophagy markers and flux (LC3-II, p62/SQSTM1, Beclin-1; flux assessed with bafilomycin/chloroquine which block autophagosome degradation), phospho-kinase quantification (western blot, IHC, phospho-MS), hematoma volume (MRI T2*/SWI or histology), BBB integrity (Evans Blue dye quantitation, endogenous IgG immunostaining), coagulation panel (PT, aPTT, fibrinogen), MMP-2/9 zymography, behavioral outcomes (rotarod, adhesive removal, neurologic deficit score) at acute and late times. Experimental setup: randomize and blind all groups; sample sizes n=6–8 per group for biochemical/phospho endpoints, n=10–12 per group for behavioral endpoints; timepoints: acute signaling 5, 15, 30, 60 min; early 6, 24, 72 h; late 7 and 28 days for histology/behavior. Ablation/comparison study: factorial comparison of active rtPA vs inactive rtPA × presence/absence of plasminogen KO and neuronal LRP1 cKO to test proteolysis vs receptor signaling; include NMDAR antagonist arm to test off-target effects. Transcriptome analysis: RNA-seq from perihematomal tissue and treated neurons, differential expression and pathway enrichment (FDR correction). Statistical analysis: mixed-effects models for repeated measures, ANOVA for group comparisons, multiple testing correction by FDR (Benjamini-Hochberg); preregistered primary endpoints (p-Akt/p-mTOR levels, LC3-II flux, NeuN+/TUNEL- percentage, hematoma expansion), interim variance estimate after pilot (n=4–6) to finalize sample size. QC: confirm inactive rtPA folding/glycosylation by CD and SEC-MALS and enzymatic inactivity by chromogenic assay prior to use.</w:t>
      </w:r>
    </w:p>
    <w:p>
      <w:r>
        <w:t xml:space="preserve"> </w:t>
      </w:r>
    </w:p>
    <w:p>
      <w:pPr>
        <w:pStyle w:val="Heading2"/>
      </w:pPr>
      <w:r>
        <w:t>Risk Factors And Limitations</w:t>
      </w:r>
    </w:p>
    <w:p>
      <w:r>
        <w:t>Technical failure modes: inactive‑rtPA may misfold or aggregate (biophysical assays required), activity assays in brain may be confounded by endogenous inhibitors (α2-antiplasmin, PAI-1), and activity-based probes or phospho‑MS may be unavailable or insensitive. Data and assay biases: variability in ICH size from collagenase model can inflate variance; antibody cross-reactivity may misread phospho-status (antibody validation needed). Off-target and interpretive ambiguity: rtPA actions on NMDAR or other receptors could mimic PI3K/AKT effects, leading to misattribution. Scalability and compute: phosphoproteomics and RNA-seq generate large datasets requiring compute and bioinformatics expertise. Generalization limits: rodent ICH and cultured neurons may not fully reflect human perihematomal biology; iPSC-derived neurons help but have their own limits. Safety constraints: intracerebral rtPA dosing risks hematoma expansion and animal welfare stopping rules may reduce group sizes. Statistical limits: multiple endpoints increase false-positive risk without strict prespecification and correction. Ethical and sourcing: human perihematomal tissue availability and consent may be limited, restricting translational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