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rtpa_pi3k_ich</w:t>
      </w:r>
    </w:p>
    <w:p>
      <w:r>
        <w:t xml:space="preserve"> </w:t>
      </w:r>
    </w:p>
    <w:p>
      <w:pPr>
        <w:pStyle w:val="Heading2"/>
      </w:pPr>
      <w:r>
        <w:t>Title</w:t>
      </w:r>
    </w:p>
    <w:p>
      <w:r>
        <w:t>Assessing direct effects of rtPA on neuronal PI3K/AKT/MTOR signaling after intracerebral hemorrhage using in vivo and in vitro models</w:t>
      </w:r>
    </w:p>
    <w:p>
      <w:r>
        <w:t xml:space="preserve"> </w:t>
      </w:r>
    </w:p>
    <w:p>
      <w:pPr>
        <w:pStyle w:val="Heading2"/>
      </w:pPr>
      <w:r>
        <w:t>Short Hypothesis</w:t>
      </w:r>
    </w:p>
    <w:p>
      <w:r>
        <w:t>Exposure of perihematomal brain tissue to clinically relevant concentrations of rtPA after intracerebral hemorrhage causes a ≥30% reduction in neuronal PI3K/AKT/MTOR phosphorylation (p‑AKT S473/T308 and p‑S6) versus ICH+vehicle, thereby increasing autophagic flux and producing worse behavioral outcomes.</w:t>
      </w:r>
    </w:p>
    <w:p>
      <w:r>
        <w:t xml:space="preserve"> </w:t>
      </w:r>
    </w:p>
    <w:p>
      <w:pPr>
        <w:pStyle w:val="Heading2"/>
      </w:pPr>
      <w:r>
        <w:t>Related Work</w:t>
      </w:r>
    </w:p>
    <w:p>
      <w:r>
        <w:t>Existing work has examined rtPA neurotoxicity via proteolytic (plasmin-mediated) and receptor-mediated (LRP1, NMDA) mechanisms, used collagenase and autologous blood rodent ICH models, and employed hemin or blood-breakdown products in vitro to model neuronal injury. Studies of PI3K/AKT/MTOR in brain injury link pathway suppression to increased autophagy and cell death. Omics efforts have profiled transcriptomic and phosphoproteomic changes after hemorrhage. Limitations include inconsistent rtPA dosing and exposure characterization (lack of brain PK/PD), few direct comparisons separating enzymatic versus receptor effects, limited cell-type resolution (bulk tissue only), small or underpowered cohorts, variable assay QC on phospho-readouts, and sparse integration between molecular readouts, imaging safety endpoints, and functional outcomes.</w:t>
      </w:r>
    </w:p>
    <w:p>
      <w:r>
        <w:t xml:space="preserve"> </w:t>
      </w:r>
    </w:p>
    <w:p>
      <w:pPr>
        <w:pStyle w:val="Heading2"/>
      </w:pPr>
      <w:r>
        <w:t>Abstract</w:t>
      </w:r>
    </w:p>
    <w:p>
      <w:r>
        <w:t>Intracerebral hemorrhage (ICH) can require local rtPA exposure during minimally invasive clot evacuation, but whether rtPA directly alters neuronal survival signaling remains unclear. This study will test whether rtPA contact with perihematomal tissue modulates the PI3K/AKT/MTOR axis and autophagy, and whether those changes map to imaging, molecular, and functional outcomes. We will combine two rodent ICH models (collagenase and autologous blood), a neuronal in vitro hemin model, transcriptome and phosphoproteome profiling, PK/PD microdialysis to measure interstitial rtPA, and mechanistic contrasts using enzymatically inactive rtPA, plasmin inhibition, RAP (LRP1 blocker), NMDA antagonists, and mTOR pathway modulators. Primary readouts are perihematomal p‑AKT S473/T308 and p‑S6 levels and a prespecified behavioral composite. Main contribution is a preregistered, quantitative pipeline that links measured brain rtPA exposure to pathway perturbation, autophagy markers, imaging safety (hematoma/BBB), and behavior. Expected outcome is a reproducible causal map clarifying whether clinically relevant rtPA exposures directly suppress neuronal PI3K/AKT/MTOR signaling and worsen functional recovery.</w:t>
      </w:r>
    </w:p>
    <w:p>
      <w:r>
        <w:t xml:space="preserve"> </w:t>
      </w:r>
    </w:p>
    <w:p>
      <w:pPr>
        <w:pStyle w:val="Heading2"/>
      </w:pPr>
      <w:r>
        <w:t>Experiments</w:t>
      </w:r>
    </w:p>
    <w:p>
      <w:r>
        <w:t>Datasets: in vivo: adult male and female rodents (rats or mice) with collagenase-induced ICH and autologous blood ICH, n per group: molecular cohorts n=10, behavioral cohorts enroll n=14 (allowing ≈10% attrition); in vitro: primary cortical neurons or human iPSC-derived neurons exposed to hemin at PK/PD-informed rtPA concentration ranges; optional organotypic brain slices and BBB microfluidic co-cultures for barrier assays. Baselines and controls: sham (no ICH), ICH+vehicle, ICH+rtPA (clinically scaled exposure), ICH+enzymatically inactive rtPA, ICH+plasmin inhibitor (aprotinin), ICH+plasmin-depleted rtPA, ICH+RAP (LRP1 blockade), ICH+NMDA antagonist, ICH+rtPA+mTOR inhibitor (e.g., rapamycin) or activator. PK/PD: microdialysis probes (specified membrane length and MW cutoff) with in vitro and in vivo calibration (probe recovery) and sampling intervals 30–60 min for first 6 hours, then 2–6 h up to 72 h. Molecular metrics: p‑AKT S473/T308, p‑S6, p‑4E‑BP1 by validated phospho-immunoassay and targeted phosphoproteomics; autophagy: LC3-II turnover measured with lysosomal blockade and p62/SQSTM1 levels; transcriptomics: bulk RNA-seq and single-nuclei RNA-seq (target 5–10k nuclei per condition). Imaging metrics: hematoma volume, edema volume, BBB permeability (Ktrans), DWI/ADC, and SWI; Behavioral composite: weighted z-score of Neurologic Deficit Score (40%), Ladder Rung (30%), Rotarod (30%). Safety: hematoma expansion %, mortality, systemic bleeding. Statistical analysis: linear mixed-effects models (Outcome ~ Treatment*Time + Sex + Age + Comorbidity + Batch + (1+Time|Animal)), primary molecular threshold ≥30% change; behavioral threshold ≥25% improvement or Cohen’s d≥0.8; omics FDR q&lt;0.05. Interim analyses: blinded after n=6 molecular and 50% behavioral enrollment; conditional power rules (proceed if ≥70%, stop if &lt;30%). Ablation/comparison studies: 1) rtPA vs enzymatically inactive rtPA vs plasmin inhibitor to separate proteolytic from receptor effects; 2) rtPA alone vs rtPA+RAP and rtPA+NMDA antagonist to test receptor involvement; 3) rtPA vs rtPA+rapamycin or AKT activator to test pathway causality. Evaluation metrics: percent change in phospho-targets, LC3-II flux ratio, DE genes and enriched pathways, hematoma/edema volumes, Ktrans change, composite behavioral effect size, mortality rates. Reproducibility: replicate co-primary endpoints at an independent site or blinded external lab.</w:t>
      </w:r>
    </w:p>
    <w:p>
      <w:r>
        <w:t xml:space="preserve"> </w:t>
      </w:r>
    </w:p>
    <w:p>
      <w:pPr>
        <w:pStyle w:val="Heading2"/>
      </w:pPr>
      <w:r>
        <w:t>Risk Factors And Limitations</w:t>
      </w:r>
    </w:p>
    <w:p>
      <w:r>
        <w:t>Microdialysis variability: probe recovery and drift can bias measured interstitial concentrations. rtPA stability: enzymatic activity may change in brain extracellular milieu causing misestimation of exposure. Off-target drug effects: pathway inhibitors or receptor blockers may have poor CNS penetration or nonspecific actions that confound interpretation. Model translation: rodent collagenase/autologous blood and hemin in vitro models may not fully mimic human perihematomal biology. Statistical power: effect-size assumptions may be optimistic; sex, age, and comorbidity interactions can reduce power. Behavioral measures: variability and scorer bias can limit sensitivity. Omics batch effects: technical variation can obscure true signals if sample sizes are small. Ethical/regulatory constraints: access to retrospective human CSF/tissue for validation may be delayed. Generalization: results limited to tested dosing windows and rtPA exposure routes and may not apply to different clinical protocols.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