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llm_art_reasoning_reliability</w:t>
      </w:r>
    </w:p>
    <w:p>
      <w:r>
        <w:t xml:space="preserve"> </w:t>
      </w:r>
    </w:p>
    <w:p>
      <w:pPr>
        <w:pStyle w:val="Heading2"/>
      </w:pPr>
      <w:r>
        <w:t>Title</w:t>
      </w:r>
    </w:p>
    <w:p>
      <w:r>
        <w:t>Evaluation of prompting strategies and grounding on the reliability of LLM-generated clinical chains-of-thought in assisted reproductive technology</w:t>
      </w:r>
    </w:p>
    <w:p>
      <w:r>
        <w:t xml:space="preserve"> </w:t>
      </w:r>
    </w:p>
    <w:p>
      <w:pPr>
        <w:pStyle w:val="Heading2"/>
      </w:pPr>
      <w:r>
        <w:t>Short Hypothesis</w:t>
      </w:r>
    </w:p>
    <w:p>
      <w:r>
        <w:t>Selective few-shot prompting yields higher clinician-adjudicated correctness and lower actionable-hallucination rates for LLM-generated clinical chains-of-thought in assisted reproductive technology than zero-shot and random few-shot prompting.</w:t>
      </w:r>
    </w:p>
    <w:p>
      <w:r>
        <w:t xml:space="preserve"> </w:t>
      </w:r>
    </w:p>
    <w:p>
      <w:pPr>
        <w:pStyle w:val="Heading2"/>
      </w:pPr>
      <w:r>
        <w:t>Related Work</w:t>
      </w:r>
    </w:p>
    <w:p>
      <w:r>
        <w:t>Large language models (LLMs) have been applied to clinical text generation and decision support, showing improved fluency and utility compared with earlier models. Chain-of-thought prompting (asking the model to produce stepwise reasoning) can reveal model reasoning but can also amplify hallucinations (unsupported or false claims). Few-shot prompting (providing examples) often improves task accuracy; however, random selection of examples is less effective than selective example choice. Retrieval-augmented generation (RAG) that pulls supporting text from a knowledge base reduces unsupported claims by grounding outputs to sources. Prior work limitations include: reliance on automated or single-expert evaluation rather than blinded multi-clinician adjudication, limited reporting of grounding provenance (exact source passages), sparse analysis of subgroup fairness and differential item functioning (DIF), and few studies that combine RAG, selective exemplars, calibrated confidence, and an independent AI verifier in a controlled comparison.</w:t>
      </w:r>
    </w:p>
    <w:p>
      <w:r>
        <w:t xml:space="preserve"> </w:t>
      </w:r>
    </w:p>
    <w:p>
      <w:pPr>
        <w:pStyle w:val="Heading2"/>
      </w:pPr>
      <w:r>
        <w:t>Abstract</w:t>
      </w:r>
    </w:p>
    <w:p>
      <w:r>
        <w:t>Problem: Clinicians need reliable, explainable clinical reasoning from large language models (LLMs) for assisted reproductive technology (ART). Approach: We compare three prompting strategies—zero-shot, random few-shot, and selective few-shot—paired with a retrieval-augmented generation (RAG) pipeline that returns source passages and a secondary fact-checker. We generate structured chains-of-thought (stepwise clinical reasoning) for ART cases and measure clinical reliability in a blinded evaluation by senior ART clinicians. Main contribution: A reproducible, auditable protocol that quantifies how prompting and grounding choices affect correctness, hallucination rates, calibration, and subgroup fairness, using clinician adjudication and an automated AI evaluator. Expected outcome: Clear, testable evidence about which prompting+grounding combinations produce the most clinically reliable chains-of-thought, plus operational thresholds (inter-rater reliability, hallucination limits, and calibration metrics) to inform safe human-in-the-loop deployment. (Chain-of-thought: a stepwise explanation of reasoning; RAG: adding retrieved text to support claims.)</w:t>
      </w:r>
    </w:p>
    <w:p>
      <w:r>
        <w:t xml:space="preserve"> </w:t>
      </w:r>
    </w:p>
    <w:p>
      <w:pPr>
        <w:pStyle w:val="Heading2"/>
      </w:pPr>
      <w:r>
        <w:t>Experiments</w:t>
      </w:r>
    </w:p>
    <w:p>
      <w:r>
        <w:t>Datasets: (1) Multi-site de-identified clinical vignettes representative of ART practice, N=500 total; hold out pilot N=120 and main N=240 for primary analysis. Include metadata: age band, race/ethnicity, BMI band, infertility etiology, prior ART exposure, and site. (2) Synthetic edge-case corpus N=300 emphasizing rare and ambiguous scenarios. (3) Guideline-derived factual corpus N=200 for grounding tests. Baselines and variants: zero-shot prompting; random few-shot prompting (k=5 examples randomly sampled); selective few-shot prompting (k=5 examples selected by similarity and clinical representativeness); each tested with and without RAG; each tested with and without secondary fact-checker gating. Also compare automated AI evaluator (GPT-4o) scores to clinician adjudication. Output format: structured chain-of-thought template (problem framing, differential with likelihoods, investigations, management with evidence level, contingency plans, uncertainty). Evaluation metrics: primary—Fleiss' kappa (3 raters, 3-tier labels correct/partial/incorrect) with bootstrap 95% CI; hallucination/actionable-falsehood rate (fraction of outputs containing unsupported actionable claims); calibration measured by Brier score and reliability diagrams; citation-accuracy (proportion of claims supported by top-k retrieved passages); retrieval-support score (mean top-k support); clinician-model agreement (Cohen's kappa per model pair). Subgroup analyses: differential performance (accuracy, hallucination rate, kappa) across pre-specified strata (age bands: &lt;35, 35–37, 38–40, &gt;40; race/ethnicity per site; BMI bands; infertility etiology; prior ART). Statistical tests and procedures: compare prompting strategies using paired bootstrap for metric differences and two-sided permutation tests; for binary rates use McNemar test for paired comparisons; estimate subgroup gaps with logistic regression including interaction terms, produce bootstrap CIs, and control false discovery with Benjamini–Hochberg. Power and sample-size: pilot N=120 for initial κ estimates; N=240 targeted to achieve κ CI half-width ≈±0.10 under κ≈0.65. Ablations: (A) selective few-shot vs selective few-shot+RAG; (B) with vs without fact-checker; (C) varying k-shot (k=1,3,5,10 for selective). Annotation and adjudication: three senior ART clinicians blinded to method; numeric rubric mapped to 3-tier labels (rubric documented and seeded); resolve ties by majority; use deterministic preprocessing and fixed random seeds for reproducibility. Reproducibility: preregister analysis plan, lock random seeds, containerize code and environment, and release synthetic redacted examples and scripts.</w:t>
      </w:r>
    </w:p>
    <w:p>
      <w:r>
        <w:t xml:space="preserve"> </w:t>
      </w:r>
    </w:p>
    <w:p>
      <w:pPr>
        <w:pStyle w:val="Heading2"/>
      </w:pPr>
      <w:r>
        <w:t>Risk Factors And Limitations</w:t>
      </w:r>
    </w:p>
    <w:p>
      <w:r>
        <w:t>Technical failure modes: LLM hallucinations that persist despite grounding; fact-checker false negatives/positives; retrieval failures due to incomplete knowledge base. Data and evaluation biases: training and test vignettes may not reflect real clinical diversity; de-identification may remove useful signals; clinician adjudication may carry subjective bias despite consensus protocol. Subgroup limitations: rare strata may have too few cases for powered inference; differential privacy or federated noise can degrade performance more for rare subgroups. Scalability and compute: RAG plus fact-checking and ensemble runs require substantial compute and storage for retrieval indices and logging. Generalization limits: findings may not transfer to other specialties, settings, or non-English populations. Regulatory and legal constraints: classification as SaMD may require additional validation steps and slow deployment. Ethical risk: erroneous actionable recommendations could cause patient harm if human oversight fails. Operational limits: clinician review capacity may be insufficient for high-volume deployments, causing delays in escalation.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