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renal_igfbp7_cell_specific_dkd</w:t>
      </w:r>
    </w:p>
    <w:p>
      <w:r>
        <w:t xml:space="preserve"> </w:t>
      </w:r>
    </w:p>
    <w:p>
      <w:pPr>
        <w:pStyle w:val="Heading2"/>
      </w:pPr>
      <w:r>
        <w:t>Title</w:t>
      </w:r>
    </w:p>
    <w:p>
      <w:r>
        <w:t>Cell-specific roles of renal IGFBP7 in diabetic kidney disease: mechanistic dissection via single-cell and proteoform mapping and evaluation of levomefolic acid as a therapeutic inhibitor</w:t>
      </w:r>
    </w:p>
    <w:p>
      <w:r>
        <w:t xml:space="preserve"> </w:t>
      </w:r>
    </w:p>
    <w:p>
      <w:pPr>
        <w:pStyle w:val="Heading2"/>
      </w:pPr>
      <w:r>
        <w:t>Short Hypothesis</w:t>
      </w:r>
    </w:p>
    <w:p>
      <w:r>
        <w:t>Renal cell-derived IGFBP7 promotes progressive diabetic kidney disease by activating STAT3-dependent mitochondrial dysfunction in tubular and glomerular cells, and inhibition of IGFBP7 with levomefolic acid or cell-specific IGFBP7 deletion will reduce injury markers and slow eGFR decline.</w:t>
      </w:r>
    </w:p>
    <w:p>
      <w:r>
        <w:t xml:space="preserve"> </w:t>
      </w:r>
    </w:p>
    <w:p>
      <w:pPr>
        <w:pStyle w:val="Heading2"/>
      </w:pPr>
      <w:r>
        <w:t>Related Work</w:t>
      </w:r>
    </w:p>
    <w:p>
      <w:r>
        <w:t>Prior work has identified IGFBP7 as upregulated in diabetic kidney disease (DKD) and linked it to cell stress, senescence markers, and poor renal outcomes. Existing approaches include bulk tissue or urine biomarker studies, non-cell-specific genetic models, and conventional ELISA-based measurements of IGFBP7. Limitations of current methods are: (1) lack of cell-type resolution — bulk assays cannot assign IGFBP7 to specific cell types (for example proximal tubule versus podocyte); (2) limited proteoform resolution — standard ELISAs and many proteomic studies do not distinguish IGFBP7 isoforms or post-translational modifications that may be functionally distinct; (3) inadequate mechanistic linkage — few studies directly connect IGFBP7 to STAT3 signaling or mitochondrial bioenergetics at the single-cell level; (4) weak cross-platform validation — there is limited paired scRNA/spatial/proteomics and orthogonal antibody/MS confirmation; (5) translational gaps — therapeutic evaluation often lacks kidney-targeted modalities and detailed PK/PD and safety gating. These gaps limit causal inference and clinical readiness.</w:t>
      </w:r>
    </w:p>
    <w:p>
      <w:r>
        <w:t xml:space="preserve"> </w:t>
      </w:r>
    </w:p>
    <w:p>
      <w:pPr>
        <w:pStyle w:val="Heading2"/>
      </w:pPr>
      <w:r>
        <w:t>Abstract</w:t>
      </w:r>
    </w:p>
    <w:p>
      <w:r>
        <w:t>Diabetic kidney disease (DKD) is driven by cell-specific disruption of the renal microenvironment. This project tests whether IGFBP7 produced by specific renal cells (proximal tubule cells and podocytes) drives DKD progression through STAT3-mediated effects on mitochondrial bioenergetics, and whether levomefolic acid (a candidate IGFBP7 inhibitor) or cell-specific IGFBP7 deletion limits injury. We combine human biopsy cohorts with paired single-cell and spatial transcriptomics, targeted proteoform mass spectrometry, RNAscope, and multiplex imaging; ex vivo human kidney slice assays and primary cell models for mechanistic readouts; and transgenic mouse models (cell-specific IGFBP7 overexpression and deletion) in type 1 and type 2 diabetes models for in vivo validation. Main contributions are: (1) definitive mapping of IGFBP7 cellular sources and proteoforms in DKD; (2) mechanistic linking of IGFBP7 to STAT3 activation and mitochondrial dysfunction at single-cell resolution; (3) preclinical efficacy and PK/PD data for levomefolic acid and genetic targeting; and (4) cross-platform biomarker validation in blood and urine. Expected outcomes include validated cell-specific mechanisms, a candidate therapeutic path, and quantified biomarker performance for translation.</w:t>
      </w:r>
    </w:p>
    <w:p>
      <w:r>
        <w:t xml:space="preserve"> </w:t>
      </w:r>
    </w:p>
    <w:p>
      <w:pPr>
        <w:pStyle w:val="Heading2"/>
      </w:pPr>
      <w:r>
        <w:t>Experiments</w:t>
      </w:r>
    </w:p>
    <w:p>
      <w:r>
        <w:t>Datasets: 1) Human pilot cohort: n=100 DKD research biopsies (balanced across CKD stages and diabetes type) with matched plasma and urine; longitudinal eGFR follow-up for &gt;=3 years where available. 2) Human validation cohort: n=350 longitudinal DKD patients with baseline urine/plasma and clinical endpoints. 3) Paired multi-omic samples: from a subset of 40 pilot biopsies obtain scRNA-seq, spatial transcriptomics, RNAscope, multiplex immunofluorescence (IF), targeted PRM mass spectrometry on microdissected compartments, and urine EVs. 4) Mouse models: cell-specific IGFBP7 knockout (proximal tubule using SGLT2 promoter; podocyte using NPHS2 promoter) and transgenic overexpression lines, exposed to streptozotocin (T1D) and db/db (T2D) backgrounds, n&gt;=10 per group per timepoint. 5) Ex vivo and in vitro: human precision-cut kidney slices (PCKS), primary proximal tubule epithelial cells and podocytes, n&gt;=4 biological replicates per condition. Baselines: wild-type diabetic controls, non-diabetic controls, vehicle-treated, and levomefolic acid-treated groups. Additional baselines: commercial IGFBP7 ELISA and urine albumin-to-creatinine ratio (UACR). Sample size / power assumptions: validation cohort n=350 chosen to detect an IGFBP7×time interaction (β3) equal to 1 mL/yr eGFR difference with 80% power assuming residual SD=5 mL/min/1.73m2, intraclass correlation (ICC)=0.6 for repeated measures, and 15% dropout; pilot n=100 for signal detection and assay calibration. Primary endpoints and metrics: human: annualized eGFR slope (mixed-effects model with random intercept and slope; test β3 for IGFBP7×time), composite renal outcome (sustained ≥40% eGFR decline or ESKD) analyzed with Cox or competing-risk models, C-index and calibration slope for predictive models. Molecular and cellular metrics: p-STAT3/total STAT3 ratio (Western/blot or IF), mitochondrial oxygen consumption rate (OCR) measured by Seahorse assay (OCR is oxygen use rate; measures cell respiration), ATP production, mitochondrial membrane potential, p21/p27 abundance, KIM-1 (tissue and secreted), SASP cytokine panel (IL-6, IL-8), histologic IF/TA score. Proteomics: PRM assay performance: LOD ~10 pg/mL, LOQ ~30 pg/mL targets, intra-assay CV ≤15%, inter-assay CV ≤20%; Spearman correlation between aggregated cell-type scRNA expression and tissue PRM quantitation (target rho ≥0.6). Cross-platform concordance: compute per-sample Spearman rho, sensitivity/specificity of RNAscope/IF vs scRNA-derived cell assignments, Bland-Altman for PRM vs ELISA. Statistical analyses: primary mixed-effects model eGFR_ij = β0 + β1*time_ij + β2*IGFBP7_ij + β3*(IGFBP7_ij*time_ij) + covariates + u0i + u1i*time_ij + ε_ij. Covariates: age, sex, race/ethnicity, diabetes duration/type, baseline eGFR, log UACR, SGLT2i/RASi use, center. Missing data: multiple imputation under MAR with prespecified MNAR sensitivity analyses (pattern-mixture delta shifts ±0.25 SD). Multiple testing: hierarchical testing with familywise control for primary endpoints and FDR 5% for multi-omic discovery. Comparisons / ablations: A) Genetic ablation vs pharmacologic inhibition: compare cell-specific IGFBP7 knockout mice to levomefolic acid-treated diabetic mice on same background to separate cell-autonomous from systemic effects. B) Cell-type specificity: compare proximal tubule-specific knockout vs podocyte-specific knockout vs whole-kidney manipulation to test which cell sources drive phenotype. C) Proteoform mapping ablation: PRM panels with and without PTM-informative peptides to test importance of proteoform resolution for biomarker correlation. D) Batch-correction benchmark: reprocess pilot scRNA/spatial datasets with Harmony, Seurat integration, LIGER and Scanorama and compare kBET, iLISI, ARI, and preservation of marker log-fold-changes. E) Rescue experiments: in vitro knockdown with CRISPRi/siRNA plus rescue by sgRNA-resistant cDNA or recombinant IGFBP7; measure p21/KIM-1 and OCR. Replication and validation: require directionally consistent effect and adjusted p&lt;0.05 in validation cohort for primary human endpoints; require ex vivo PD target engagement ≥30% reduction in p21/KIM-1 and concordant proteoform decrease by PRM before in vivo progression. Data and QC: enforce scRNA QC thresholds (mitochondrial reads &lt;10%, genes 300–10,000, UMI&gt;500), spatial spot genes&gt;200, doublet detection &lt;5%, and proteomics QC metrics above.</w:t>
      </w:r>
    </w:p>
    <w:p>
      <w:r>
        <w:t xml:space="preserve"> </w:t>
      </w:r>
    </w:p>
    <w:p>
      <w:pPr>
        <w:pStyle w:val="Heading2"/>
      </w:pPr>
      <w:r>
        <w:t>Risk Factors And Limitations</w:t>
      </w:r>
    </w:p>
    <w:p>
      <w:r>
        <w:t>Technical failure modes: low biopsy tissue yield or poor RNA/protein quality may prevent paired multi-omic assays; degraded samples may limit scRNA and proteoform detection. Data biases: cohort selection bias if biopsied patients are not representative of general DKD; limited numbers of advanced-stage or minority participants may reduce generalizability. Measurement error: assay variability in PRM, RNAscope, and sc/snRNA can attenuate associations; small effect sizes may be missed if CV targets (&lt;=15–20%) are not met. Causal inference limits: observational human associations cannot alone prove causation; unmeasured confounding or collider bias may distort IGFBP7–eGFR relationships. Translational and biological limits: mouse models may not fully recapitulate human DKD proteoforms or immune contexts. Therapeutic risks: levomefolic acid may have off-target effects or inadequate kidney delivery; systemic IGF-axis perturbation is a safety concern. Scalability and compute: large single-cell and proteomics datasets require substantial storage and compute for integration and benchmarking. Statistical power limits: detecting small interaction effects (e.g., 1 mL/yr eGFR) depends on assumed SD/ICC; if variance is larger than assumed, power will drop. Reproducibility: batch effects across sites/platforms may limit cross-cohort validation if harmonization thresholds fail.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